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88R14093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availability of menstrual products and lactation rooms at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Sections 51.9185 and 51.9186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51.9185.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AVAILABILITY OF MENSTRUAL PRODUCTS.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"Institution of higher education" has the meaning assigned by Section 61.003.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"Menstrual products" means tampons and sanitary napkins for use in connection with the menstrual cycle.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institution of higher education shall make menstrual products available free of charge in each public women's restroom and public all-gender restroom located on the institution's campus, including in on-campus residence halls.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51.9186.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AVAILABILITY OF LACTATION ROOMS.  (a)  In this section, "institution of higher education" has the meaning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institution of higher education shall make available free of charge at convenient locations on the institution's campus a sufficient number of lactation rooms for a student or employee of the institution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express breast milk;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breast-feed an infant child;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address other needs related to breast-feeding.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academic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