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88R11079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counties posting election information on an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31.125, Election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shall use the top-level domain ".gov"  or ".texas.gov" for an Internet website used to post election information as required by this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 county shall comply with the requirements of Section 31.125(b-1), Election Code, as added by this Act, as soon as practicable after the effective date of this Act but not later than September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