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3185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temporary closure of certain businesses following a violent act on the premises.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104, Alcoholic Beverage Code, is amended by adding Section 104.08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104.08.</w:t>
      </w:r>
      <w:r>
        <w:rPr>
          <w:u w:val="single"/>
        </w:rPr>
        <w:t xml:space="preserve"> </w:t>
      </w:r>
      <w:r>
        <w:rPr>
          <w:u w:val="single"/>
        </w:rPr>
        <w:t xml:space="preserve"> </w:t>
      </w:r>
      <w:r>
        <w:rPr>
          <w:u w:val="single"/>
        </w:rPr>
        <w:t xml:space="preserve">MANDATORY CLOSURE AFTER VIOLENT INCIDENT.  (a)  This section applies only to a permit or license holder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as a bar, nightclub, or similar commercial 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derives more than 50 percent of the holder's gross revenue from the sale of alcoholic beverages for on-premises consumption.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shooting, stabbing, or other violent act that results in the hospitalization or death of an individual occurs on the premises of a permit or license holder, the permit or license holder shall immediately close the premises.  The permit or license holder shall keep the premises closed until the 48th hour following the violent act to allow law enforcement to investigate the incident unless the law enforcement agency conducting the investigation authorizes the permit or license holder to reopen the premises before the 48th hour via written notice, with a carbon copy sent to Texas Alcoholic Business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