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Garcia</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3186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youth diversion strategies and procedures for children accused of certain fine-only offenses in municipal and justice courts and related criminal justice matters;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Youth Diversion and Early Intervention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w:t>
      </w:r>
      <w:r>
        <w:rPr>
          <w:u w:val="single"/>
        </w:rPr>
        <w:t xml:space="preserve"> </w:t>
      </w:r>
      <w:r>
        <w:rPr>
          <w:u w:val="single"/>
        </w:rPr>
        <w:t xml:space="preserve">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45.309 or 45.310.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365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45.309;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45.310;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45.309 or 45.310.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45.309 or 45.310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12.02(b)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45.041, Code of Criminal Procedure, is amended by adding Subsection (a-2) and amending Subsection (b-3)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 case involving a child who is eligible for diversion under Article 45.304 that results in a trial, if the court determines that the evidence presented in a bench trial would support a finding of guilt, or if a jury returns a verdict of guilty, the court shall provide the child and the child's parents the opportunity to accept placement in diversion, under Article 45.310, instead of entering an adjudication of guilt. </w:t>
      </w:r>
      <w:r>
        <w:rPr>
          <w:u w:val="single"/>
        </w:rPr>
        <w:t xml:space="preserve"> </w:t>
      </w:r>
      <w:r>
        <w:rPr>
          <w:u w:val="single"/>
        </w:rPr>
        <w:t xml:space="preserve">If the child and the child's parents accept the opportunity for placement in diversion under Article 45.310, the court shall place the child in diversion. </w:t>
      </w:r>
      <w:r>
        <w:rPr>
          <w:u w:val="single"/>
        </w:rPr>
        <w:t xml:space="preserve"> </w:t>
      </w:r>
      <w:r>
        <w:rPr>
          <w:u w:val="single"/>
        </w:rPr>
        <w:t xml:space="preserve">If the child and the child's parents decline the opportunity for placement in diversion under Article 45.310, the court shall find the child guilty and proceed to sentencing.</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(a-2),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45.049(f) and (i), Code of Criminal Procedure, are amended to read as follows: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Articles 45.056(a), (b), (d),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The court or governing body may pay </w:t>
      </w:r>
      <w:r>
        <w:rPr>
          <w:u w:val="single"/>
        </w:rPr>
        <w:t xml:space="preserve">from the local youth diversion fund established under Section 134.156, Local Government Code: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w:t>
      </w:r>
      <w:r>
        <w:rPr>
          <w:strike/>
        </w:rPr>
        <w:t xml:space="preserve">from the local truancy prevention and diversion fund established under Section 134.156, Local Government Code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w:t>
      </w:r>
      <w:r>
        <w:rPr>
          <w:u w:val="single"/>
        </w:rPr>
        <w:t xml:space="preserve">youth</w:t>
      </w:r>
      <w:r>
        <w:t xml:space="preserve"> </w:t>
      </w:r>
      <w:r>
        <w:t xml:space="preserve">[</w:t>
      </w:r>
      <w:r>
        <w:rPr>
          <w:strike/>
        </w:rPr>
        <w:t xml:space="preserve">truancy prevention and</w:t>
      </w:r>
      <w:r>
        <w:t xml:space="preserve">] diversion fund under Section 134.156, Local Government Code, shall require periodic review of juvenile case managers to ensure the implementation of the rules adopted under Subsection (f).</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45.056(e), Code of Criminal Procedure, as amended by Chapter 1055 (S.B. 209), Acts of the 82nd Legislature, Regular Session, 2011, and repealed by Chapter 1098 (S.B. 1489), Acts of the 82nd Legislature, Regular Session, 2011, is reenacted and amended to read as follows:</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 of this chapter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FINES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w:t>
      </w:r>
      <w:r>
        <w:t xml:space="preserve"> </w:t>
      </w:r>
      <w:r>
        <w:t xml:space="preserve">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45.309, or 45.310,</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22.1105(a),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w:t>
      </w:r>
      <w:r>
        <w:rPr>
          <w:u w:val="single"/>
        </w:rPr>
        <w:t xml:space="preserve">youth diversion and</w:t>
      </w:r>
      <w:r>
        <w:t xml:space="preserve"> understanding relevant issues of child welfare</w:t>
      </w:r>
      <w:r>
        <w:rPr>
          <w:u w:val="single"/>
        </w:rPr>
        <w:t xml:space="preserve">, including issues related to mental health and children with disabilities,</w:t>
      </w:r>
      <w:r>
        <w:t xml:space="preserve"> [</w:t>
      </w:r>
      <w:r>
        <w:rPr>
          <w:strike/>
        </w:rPr>
        <w:t xml:space="preserve">and the Individuals with Disabilities Education Act (20 U.S.C. Section 1400 et seq.)</w:t>
      </w:r>
      <w:r>
        <w:t xml:space="preserve">] every judicial academic year that ends in a 0 or a 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133.102(e),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w:t>
      </w:r>
      <w:r>
        <w:rPr>
          <w:u w:val="single"/>
        </w:rPr>
        <w:t xml:space="preserve">account</w:t>
      </w:r>
      <w:r>
        <w:t xml:space="preserve"> </w:t>
      </w:r>
      <w:r>
        <w:t xml:space="preserve">[</w:t>
      </w:r>
      <w:r>
        <w:rPr>
          <w:strike/>
        </w:rPr>
        <w:t xml:space="preserve">Account</w:t>
      </w:r>
      <w:r>
        <w:t xml:space="preserve">]</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rPr>
          <w:u w:val="single"/>
        </w:rPr>
        <w:t xml:space="preserve">youth</w:t>
      </w:r>
      <w:r>
        <w:t xml:space="preserve"> [</w:t>
      </w:r>
      <w:r>
        <w:rPr>
          <w:strike/>
        </w:rPr>
        <w:t xml:space="preserve">truancy prevention and</w:t>
      </w:r>
      <w:r>
        <w:t xml:space="preserve">]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133.125, Local Government Code, is amended to read as follows:</w:t>
      </w:r>
    </w:p>
    <w:p w:rsidR="003F3435" w:rsidRDefault="0032493E">
      <w:pPr>
        <w:spacing w:line="480" w:lineRule="auto"/>
        <w:ind w:firstLine="720"/>
        <w:jc w:val="both"/>
      </w:pPr>
      <w:r>
        <w:t xml:space="preserve">Sec.</w:t>
      </w:r>
      <w:r xml:space="preserve">
        <w:t> </w:t>
      </w:r>
      <w:r>
        <w:t xml:space="preserve">133.125.</w:t>
      </w:r>
      <w:r xml:space="preserve">
        <w:t> </w:t>
      </w:r>
      <w:r xml:space="preserve">
        <w:t> </w:t>
      </w:r>
      <w:r>
        <w:t xml:space="preserve">ALLOCATION OF FEES TO </w:t>
      </w:r>
      <w:r>
        <w:rPr>
          <w:u w:val="single"/>
        </w:rPr>
        <w:t xml:space="preserve">YOUTH</w:t>
      </w:r>
      <w:r>
        <w:t xml:space="preserve"> [</w:t>
      </w:r>
      <w:r>
        <w:rPr>
          <w:strike/>
        </w:rPr>
        <w:t xml:space="preserve">TRUANCY PREVENTION AND</w:t>
      </w:r>
      <w:r>
        <w:t xml:space="preserve">] DIVERSION ACCOUNT. </w:t>
      </w:r>
      <w:r>
        <w:t xml:space="preserve"> </w:t>
      </w:r>
      <w:r>
        <w:t xml:space="preserve">(a) </w:t>
      </w:r>
      <w:r>
        <w:t xml:space="preserve"> </w:t>
      </w:r>
      <w:r>
        <w:t xml:space="preserve">The </w:t>
      </w:r>
      <w:r>
        <w:rPr>
          <w:u w:val="single"/>
        </w:rPr>
        <w:t xml:space="preserve">youth</w:t>
      </w:r>
      <w:r>
        <w:t xml:space="preserve"> [</w:t>
      </w:r>
      <w:r>
        <w:rPr>
          <w:strike/>
        </w:rPr>
        <w:t xml:space="preserve">truancy prevention and</w:t>
      </w:r>
      <w:r>
        <w:t xml:space="preserve">] diversion account is a dedicated account in the general revenue fund. The account consists of money allocated to the account under Section 133.102(e).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w:t>
      </w:r>
      <w:r>
        <w:rPr>
          <w:u w:val="single"/>
        </w:rPr>
        <w:t xml:space="preserve">youth</w:t>
      </w:r>
      <w:r>
        <w:t xml:space="preserve"> [</w:t>
      </w:r>
      <w:r>
        <w:rPr>
          <w:strike/>
        </w:rPr>
        <w:t xml:space="preserve">truancy prevention and</w:t>
      </w:r>
      <w:r>
        <w:t xml:space="preserve">] diversion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134.103(b),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134.156, Local Government Code, is amended to read as follows:</w:t>
      </w:r>
    </w:p>
    <w:p w:rsidR="003F3435" w:rsidRDefault="0032493E">
      <w:pPr>
        <w:spacing w:line="480" w:lineRule="auto"/>
        <w:ind w:firstLine="720"/>
        <w:jc w:val="both"/>
      </w:pPr>
      <w:r>
        <w:t xml:space="preserve">Sec.</w:t>
      </w:r>
      <w:r xml:space="preserve">
        <w:t> </w:t>
      </w:r>
      <w:r>
        <w:t xml:space="preserve">134.156.</w:t>
      </w:r>
      <w:r xml:space="preserve">
        <w:t> </w:t>
      </w:r>
      <w:r xml:space="preserve">
        <w:t> </w:t>
      </w:r>
      <w:r>
        <w:t xml:space="preserve">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134.156,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a county or municipality that employs or contracts with a juvenile case manager under Article 45.056, Code of Criminal Procedure, money</w:t>
      </w:r>
      <w:r>
        <w:t xml:space="preserve"> [</w:t>
      </w:r>
      <w:r>
        <w:rPr>
          <w:strike/>
        </w:rPr>
        <w:t xml:space="preserve">Money</w:t>
      </w:r>
      <w:r>
        <w:t xml:space="preserve">] allocated under Section 134.103 to the local </w:t>
      </w:r>
      <w:r>
        <w:rPr>
          <w:u w:val="single"/>
        </w:rPr>
        <w:t xml:space="preserve">youth</w:t>
      </w:r>
      <w:r>
        <w:t xml:space="preserve"> [</w:t>
      </w:r>
      <w:r>
        <w:rPr>
          <w:strike/>
        </w:rPr>
        <w:t xml:space="preserve">truancy prevention and</w:t>
      </w:r>
      <w:r>
        <w:t xml:space="preserve">]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w:t>
      </w:r>
      <w:r>
        <w:rPr>
          <w:strike/>
        </w:rPr>
        <w:t xml:space="preserve">employed under Article 45.056, Code of Criminal Procedure</w:t>
      </w:r>
      <w:r>
        <w:t xml:space="preserv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January 1, 2025,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changes in law made by this Act apply only to an offense committed on or after January 1, 2025. </w:t>
      </w:r>
      <w:r>
        <w:t xml:space="preserve"> </w:t>
      </w:r>
      <w:r>
        <w:t xml:space="preserve">An offense committed before January 1, 2025, is governed by the law in effect on the date the offense was committed, and the former law is continued in effect for that purpose. </w:t>
      </w:r>
      <w:r>
        <w:t xml:space="preserve"> </w:t>
      </w:r>
      <w:r>
        <w:t xml:space="preserve">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