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88R1508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public school as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43.031(e),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polling place may not be located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public primary or secondary school campus;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at the residence of a person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 candidate for an elective office, including an office of a political party;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related within the third degree by consanguinity or the second degree by affinity, as determined under Chapter 573, Government Code, to a candidate described by </w:t>
      </w:r>
      <w:r>
        <w:rPr>
          <w:u w:val="single"/>
        </w:rPr>
        <w:t xml:space="preserve">Paragraph (A)</w:t>
      </w:r>
      <w:r>
        <w:t xml:space="preserve"> [</w:t>
      </w:r>
      <w:r>
        <w:rPr>
          <w:strike/>
        </w:rPr>
        <w:t xml:space="preserve">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