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88R12254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of certain judgments.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Civil Practice and Remedies Code, is amended by amending Subsection (f) and adding Subsections (i) and (j) to read as follows:</w:t>
      </w:r>
    </w:p>
    <w:p w:rsidR="003F3435" w:rsidRDefault="0032493E">
      <w:pPr>
        <w:spacing w:line="480" w:lineRule="auto"/>
        <w:ind w:firstLine="720"/>
        <w:jc w:val="both"/>
      </w:pPr>
      <w:r>
        <w:t xml:space="preserve">(f)</w:t>
      </w:r>
      <w:r xml:space="preserve">
        <w:t> </w:t>
      </w:r>
      <w:r xml:space="preserve">
        <w:t> </w:t>
      </w:r>
      <w:r>
        <w:t xml:space="preserve">A court may not enter or enforce an order under this section that requires the turnover of </w:t>
      </w:r>
      <w:r>
        <w:rPr>
          <w:u w:val="single"/>
        </w:rPr>
        <w:t xml:space="preserve">a paycheck or</w:t>
      </w:r>
      <w:r>
        <w:t xml:space="preserve"> the </w:t>
      </w:r>
      <w:r>
        <w:rPr>
          <w:u w:val="single"/>
        </w:rPr>
        <w:t xml:space="preserve">sales</w:t>
      </w:r>
      <w:r>
        <w:t xml:space="preserve"> proceeds of, or the disbursement of, property exempt under any statute, including Section 42.0021, Property Code. </w:t>
      </w:r>
      <w:r>
        <w:t xml:space="preserve"> </w:t>
      </w:r>
      <w:r>
        <w:t xml:space="preserve">This subsection does not apply to the enforcement of a child support obligation or a judgment for past due child support.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final money judgment remains unsatisfied in justice court for longer than six months, a judgment creditor is entitled to a hearing on the judgment creditor's motion for the court's assistance under this section.  If notice of the hearing is provided to the judgment debtor, the court shall appoint a receiver under Subsection (b)(3) to enforce the judgment unless the judgment debtor appears and contests the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court may issue an order under this section that requires the turnover of all nonexempt property of the judgment debtor without requiring the judgment creditor to prove the existence of specific property owned by the judgment debtor.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collection of any judgment, regardless of whether the judgment was entered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