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88R2477 ANG-F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Noble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3201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access to the registry of persons who are not eligible for employment in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22.092(d),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agency shall provide equivalent access to the registry maintained under this section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private schools;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public schools;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rPr>
          <w:u w:val="single"/>
        </w:rPr>
        <w:t xml:space="preserve">child-care facilities and family homes licensed, registered, or listed under Chapter 42, Human Resources Code;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 xml:space="preserve">
        <w:t> </w:t>
      </w:r>
      <w:r>
        <w:t xml:space="preserve">nonprofit teacher organizations approved by the commissioner for the purpose of participating in the tutoring program established under Section 33.913.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3201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