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88R24398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Walle, Wilson, et al.</w:t>
      </w:r>
      <w:r xml:space="preserve">
        <w:tab wTab="150" tlc="none" cTlc="0"/>
      </w:r>
      <w:r>
        <w:t xml:space="preserve">H.B.</w:t>
      </w:r>
      <w:r xml:space="preserve">
        <w:t> </w:t>
      </w:r>
      <w:r>
        <w:t xml:space="preserve">No.</w:t>
      </w:r>
      <w:r xml:space="preserve">
        <w:t> </w:t>
      </w:r>
      <w:r>
        <w:t xml:space="preserve">3202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3202:</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3202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the Texas Education Agency and private schools to certain criminal history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22, Education Code, is amended by adding Section 22.08361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22.08361.</w:t>
      </w:r>
      <w:r>
        <w:rPr>
          <w:u w:val="single"/>
        </w:rPr>
        <w:t xml:space="preserve"> </w:t>
      </w:r>
      <w:r>
        <w:rPr>
          <w:u w:val="single"/>
        </w:rPr>
        <w:t xml:space="preserve"> </w:t>
      </w:r>
      <w:r>
        <w:rPr>
          <w:u w:val="single"/>
        </w:rPr>
        <w:t xml:space="preserve">NATIONAL CRIMINAL HISTORY RECORD INFORMATION REVIEW OF CERTAIN PRIVATE SCHOOL EMPLOYEES.  (a) In this section, "qualified private school" has the meaning assigned by Section 411.0972,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person who is an employee of or an applicant for employment at a qualified private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require a person to whom this section applies to submit to a national criminal history record information review under this section before being employed by the school.</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or immediately after securing the services of a person to whom this section applies, a qualified private school may submit or require the person to whom this section applies to submit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the information under Subsection (c),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qualified private school may obtain all criminal history record information that relates to a person to whom this section applies through the criminal history clearinghouse as provided by Section 411.0845, Government Code, and may subscribe to the criminal history record information of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private school may require a person to pay any fees related to obtaining criminal history record information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qualified private school requires a person to whom this section applies to submit to a national criminal history record information review, the school shall provide the agency with the name and information described by Subsection (d). The agency shall facilitate the submission of information to the department to allow the school to obtain all criminal history record information that relates to the person to whom this section applies through the criminal history clearinghouse as provided by Section 411.0845,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in coordination with 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411.0972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411.0972.</w:t>
      </w:r>
      <w:r>
        <w:rPr>
          <w:u w:val="single"/>
        </w:rPr>
        <w:t xml:space="preserve"> </w:t>
      </w:r>
      <w:r>
        <w:rPr>
          <w:u w:val="single"/>
        </w:rPr>
        <w:t xml:space="preserve"> </w:t>
      </w:r>
      <w:r>
        <w:rPr>
          <w:u w:val="single"/>
        </w:rPr>
        <w:t xml:space="preserve">ACCESS TO CRIMINAL HISTORY RECORD INFORMATION: QUALIFIED PRIVATE SCHOOLS. (a) In this section, "qualified private school" means a school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offers a course of instruction for students in this state in one or more grades from prekindergarten through grade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accredited by an organization recognized by the Texas Education Agency or the Texas Private School Accreditation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determined to be eligible by the department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private school, the department shall determine whether the school is eligible under the National Child Protection Act of 1993 (34 U.S.C. Section 40102) to obtain criminal history record information that relates to an employee or an applicant for employment.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obtain state criminal history record information from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(f), criminal history record information obtained by a qualified private school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 the person who is the subject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be destroyed by the school after the information is used for the authorized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qualified private school may obtain criminal history record information from the Federal Bureau of Investigation identification division in accordance with Section 411.087.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from the Federal Bureau of Investigation may not be released or disclosed except on court 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