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88R2478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3202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by the Texas Education Agency and private schools to certain criminal history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w:t>
      </w:r>
      <w:r>
        <w:rPr>
          <w:u w:val="single"/>
        </w:rPr>
        <w:t xml:space="preserve">private school that is accredited by an accrediting agency that is a member of the Texas Private School Accreditation Commission,</w:t>
      </w:r>
      <w:r>
        <w:t xml:space="preserve"> regional education service center, or shared services arrangement.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22.083,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private school that is accredited by an accrediting agency that is a member of the Texas Private School Accreditation Commission may obtain the criminal history record information described by Subsection (b) from the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411.0901(a),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entitled to obtain criminal history record information maintained by the department about a person who:</w:t>
      </w:r>
    </w:p>
    <w:p w:rsidR="003F3435" w:rsidRDefault="0032493E">
      <w:pPr>
        <w:spacing w:line="480" w:lineRule="auto"/>
        <w:ind w:firstLine="1440"/>
        <w:jc w:val="both"/>
      </w:pPr>
      <w:r>
        <w:t xml:space="preserve">(1)</w:t>
      </w:r>
      <w:r xml:space="preserve">
        <w:t> </w:t>
      </w:r>
      <w:r xml:space="preserve">
        <w:t> </w:t>
      </w:r>
      <w:r>
        <w:t xml:space="preserve">is employed or is an applicant for employment by a school district</w:t>
      </w:r>
      <w:r>
        <w:rPr>
          <w:u w:val="single"/>
        </w:rPr>
        <w:t xml:space="preserve">,</w:t>
      </w:r>
      <w:r>
        <w:t xml:space="preserve"> [</w:t>
      </w:r>
      <w:r>
        <w:rPr>
          <w:strike/>
        </w:rPr>
        <w:t xml:space="preserve">or</w:t>
      </w:r>
      <w:r>
        <w:t xml:space="preserve">] open-enrollment charter school</w:t>
      </w:r>
      <w:r>
        <w:rPr>
          <w:u w:val="single"/>
        </w:rPr>
        <w:t xml:space="preserve">, or private school that is accredited by an accrediting agency that is a member of the Texas Private School Accreditation Commission</w:t>
      </w:r>
      <w:r>
        <w:t xml:space="preserve">;</w:t>
      </w:r>
    </w:p>
    <w:p w:rsidR="003F3435" w:rsidRDefault="0032493E">
      <w:pPr>
        <w:spacing w:line="480" w:lineRule="auto"/>
        <w:ind w:firstLine="1440"/>
        <w:jc w:val="both"/>
      </w:pPr>
      <w:r>
        <w:t xml:space="preserve">(2)</w:t>
      </w:r>
      <w:r xml:space="preserve">
        <w:t> </w:t>
      </w:r>
      <w:r xml:space="preserve">
        <w:t> </w:t>
      </w:r>
      <w:r>
        <w:t xml:space="preserve">is employed or is an applicant for employment by a shared services arrangement, if the employee's or applicant's duties are or will be performed on school property or at another location where students are regularly present; or</w:t>
      </w:r>
    </w:p>
    <w:p w:rsidR="003F3435" w:rsidRDefault="0032493E">
      <w:pPr>
        <w:spacing w:line="480" w:lineRule="auto"/>
        <w:ind w:firstLine="1440"/>
        <w:jc w:val="both"/>
      </w:pPr>
      <w:r>
        <w:t xml:space="preserve">(3)</w:t>
      </w:r>
      <w:r xml:space="preserve">
        <w:t> </w:t>
      </w:r>
      <w:r xml:space="preserve">
        <w:t> </w:t>
      </w:r>
      <w:r>
        <w:t xml:space="preserve">is employed or is an applicant for employment by an entity that contracts with a school district, open-enrollment charter school, or shared services arrangement if:</w:t>
      </w:r>
    </w:p>
    <w:p w:rsidR="003F3435" w:rsidRDefault="0032493E">
      <w:pPr>
        <w:spacing w:line="480" w:lineRule="auto"/>
        <w:ind w:firstLine="2160"/>
        <w:jc w:val="both"/>
      </w:pPr>
      <w:r>
        <w:t xml:space="preserve">(A)</w:t>
      </w:r>
      <w:r xml:space="preserve">
        <w:t> </w:t>
      </w:r>
      <w:r xml:space="preserve">
        <w:t> </w:t>
      </w:r>
      <w:r>
        <w:t xml:space="preserve">the employee or applicant has or will have continuing duties relating to the contracted services; and</w:t>
      </w:r>
    </w:p>
    <w:p w:rsidR="003F3435" w:rsidRDefault="0032493E">
      <w:pPr>
        <w:spacing w:line="480" w:lineRule="auto"/>
        <w:ind w:firstLine="2160"/>
        <w:jc w:val="both"/>
      </w:pPr>
      <w:r>
        <w:t xml:space="preserve">(B)</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