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88R10172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of local workforce development boards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325.026.</w:t>
      </w:r>
      <w:r>
        <w:rPr>
          <w:u w:val="single"/>
        </w:rPr>
        <w:t xml:space="preserve"> </w:t>
      </w:r>
      <w:r>
        <w:rPr>
          <w:u w:val="single"/>
        </w:rPr>
        <w:t xml:space="preserve"> </w:t>
      </w:r>
      <w:r>
        <w:rPr>
          <w:u w:val="single"/>
        </w:rPr>
        <w:t xml:space="preserve">LOCAL WORKFORCE DEVELOPMENT BOARDS SUBJECT TO REVIEW.  (a) </w:t>
      </w:r>
      <w:r>
        <w:rPr>
          <w:u w:val="single"/>
        </w:rPr>
        <w:t xml:space="preserve"> </w:t>
      </w:r>
      <w:r>
        <w:rPr>
          <w:u w:val="single"/>
        </w:rPr>
        <w:t xml:space="preserve">A local workforce development board listed in Subsection (b) is subject to a limited review under this chapter as if it were a state agency but may not be abolished.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Workforce Solutions Panhandle;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Workforce Solutions South Plains;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Workforce Solutions North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Workforce Solutions North Central Texas;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Workforce Solutions for Tarrant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Workforce Solutions Greater Dallas;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Workforce Solutions Northeast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Workforce Solutions East Texas;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Workforce Solutions of West Central Texas;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Workforce Solutions Borderplex;</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Workforce Solutions Permian Basin;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Workforce Solutions Concho Valley;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Workforce Solutions for the Heart of Texas;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Workforce Solutions Capital Area;</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Workforce Solutions Rural Capital Area;</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Workforce Solutions Brazos Valley;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Workforce Solutions Deep East Texas;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Workforce Solutions Southeast Texas;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Workforce Solutions Golden Crescent;</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Workforce Solutions Alamo;</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Workforce Solutions for South Texas;</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Workforce Solutions of the Coastal Bend;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Workforce Solutions Lower Rio Grande Valley;</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Workforce Solutions Cameron;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Workforce Solutions Texoma;</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Workforce Solutions of Central Texas;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Workforce Solutions Middle Rio Grande; and</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Workforce Solutions Gulf Coast.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limited review under this chapter must assess each local workforce development board's: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structure;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compliance with the requirements of Subchapter G, Chapter 2308, or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conduct the limited review under this section as soon as practicable and shall review each local workforce development board listed in Subsection (b) in an order determined appropriate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