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Murr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composition of the agricultural advisory board of an appraisal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6.12(b),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agricultural advisory board members must be landowners of the district whose land qualifies for appraisal under Subchapter C, D, E, or H, Chapter 23[</w:t>
      </w:r>
      <w:r>
        <w:rPr>
          <w:strike/>
        </w:rPr>
        <w:t xml:space="preserve">, and who have been residents of the district for at least five years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