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88R13345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Denton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located in Denton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