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88R12618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3217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biennial audit by the Department of Information Resources of state agency information technology infrastructure.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2054.068, Government Code, is amended to read as follows:</w:t>
      </w:r>
    </w:p>
    <w:p w:rsidR="003F3435" w:rsidRDefault="0032493E">
      <w:pPr>
        <w:spacing w:line="480" w:lineRule="auto"/>
        <w:ind w:firstLine="720"/>
        <w:jc w:val="both"/>
      </w:pPr>
      <w:r>
        <w:t xml:space="preserve">Sec.</w:t>
      </w:r>
      <w:r xml:space="preserve">
        <w:t> </w:t>
      </w:r>
      <w:r>
        <w:t xml:space="preserve">2054.068.</w:t>
      </w:r>
      <w:r xml:space="preserve">
        <w:t> </w:t>
      </w:r>
      <w:r xml:space="preserve">
        <w:t> </w:t>
      </w:r>
      <w:r>
        <w:t xml:space="preserve">INFORMATION TECHNOLOGY INFRASTRUCTURE </w:t>
      </w:r>
      <w:r>
        <w:rPr>
          <w:u w:val="single"/>
        </w:rPr>
        <w:t xml:space="preserve">AUDIT AND</w:t>
      </w:r>
      <w:r>
        <w:t xml:space="preserv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2054.068(b), (c), (d), and (e),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w:t>
      </w:r>
      <w:r>
        <w:rPr>
          <w:u w:val="single"/>
        </w:rPr>
        <w:t xml:space="preserve">conduct a biennial audit of</w:t>
      </w:r>
      <w:r>
        <w:t xml:space="preserve"> [</w:t>
      </w:r>
      <w:r>
        <w:rPr>
          <w:strike/>
        </w:rPr>
        <w:t xml:space="preserve">collect from each state agency information on</w:t>
      </w:r>
      <w:r>
        <w:t xml:space="preserve">] the status and condition of </w:t>
      </w:r>
      <w:r>
        <w:rPr>
          <w:u w:val="single"/>
        </w:rPr>
        <w:t xml:space="preserve">each state</w:t>
      </w:r>
      <w:r>
        <w:t xml:space="preserve"> [</w:t>
      </w:r>
      <w:r>
        <w:rPr>
          <w:strike/>
        </w:rPr>
        <w:t xml:space="preserve">the</w:t>
      </w:r>
      <w:r>
        <w:t xml:space="preserve">] agency's information technology infrastructure, including </w:t>
      </w:r>
      <w:r>
        <w:rPr>
          <w:u w:val="single"/>
        </w:rPr>
        <w:t xml:space="preserve">a review of</w:t>
      </w:r>
      <w:r>
        <w:t xml:space="preserve"> [</w:t>
      </w:r>
      <w:r>
        <w:rPr>
          <w:strike/>
        </w:rPr>
        <w:t xml:space="preserve">information regarding</w:t>
      </w:r>
      <w:r>
        <w:t xml:space="preserve">]:</w:t>
      </w:r>
    </w:p>
    <w:p w:rsidR="003F3435" w:rsidRDefault="0032493E">
      <w:pPr>
        <w:spacing w:line="480" w:lineRule="auto"/>
        <w:ind w:firstLine="1440"/>
        <w:jc w:val="both"/>
      </w:pPr>
      <w:r>
        <w:t xml:space="preserve">(1)</w:t>
      </w:r>
      <w:r xml:space="preserve">
        <w:t> </w:t>
      </w:r>
      <w:r xml:space="preserve">
        <w:t> </w:t>
      </w:r>
      <w:r>
        <w:t xml:space="preserve">the agency's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information security program</w:t>
      </w:r>
      <w:r>
        <w:rPr>
          <w:u w:val="single"/>
        </w:rPr>
        <w:t xml:space="preserve">, including any information technology security measures used by the agency</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hardware, including</w:t>
      </w:r>
      <w:r>
        <w:t xml:space="preserve"> [</w:t>
      </w:r>
      <w:r>
        <w:rPr>
          <w:strike/>
        </w:rPr>
        <w:t xml:space="preserve">(2)</w:t>
      </w:r>
      <w:r>
        <w:t xml:space="preserve">] an inventory of the agency's servers, mainframes, cloud services, and other information technology equipment;</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(3)  identification of</w:t>
      </w:r>
      <w:r>
        <w:t xml:space="preserve">] vendors that operate and manage the agency's information technology infrastructure;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software and licenses,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purchase date and cost;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license length;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date of last use;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purpose of the software or license;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information technology governance policies;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cloud services;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vendor-managed services;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support services and the cost of those services;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network systems;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digital data storage systems and security measures;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future information technology projects;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information technology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information technology issues reported by the public;</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any additional related </w:t>
      </w:r>
      <w:r>
        <w:rPr>
          <w:u w:val="single"/>
        </w:rPr>
        <w:t xml:space="preserve">issue</w:t>
      </w:r>
      <w:r>
        <w:t xml:space="preserve"> [</w:t>
      </w:r>
      <w:r>
        <w:rPr>
          <w:strike/>
        </w:rPr>
        <w:t xml:space="preserve">information requested by</w:t>
      </w:r>
      <w:r>
        <w:t xml:space="preserve">] the department </w:t>
      </w:r>
      <w:r>
        <w:rPr>
          <w:u w:val="single"/>
        </w:rPr>
        <w:t xml:space="preserve">considers necessary</w:t>
      </w:r>
      <w:r>
        <w:t xml:space="preserve">.</w:t>
      </w:r>
    </w:p>
    <w:p w:rsidR="003F3435" w:rsidRDefault="0032493E">
      <w:pPr>
        <w:spacing w:line="480" w:lineRule="auto"/>
        <w:ind w:firstLine="720"/>
        <w:jc w:val="both"/>
      </w:pPr>
      <w:r>
        <w:t xml:space="preserve">(c)</w:t>
      </w:r>
      <w:r xml:space="preserve">
        <w:t> </w:t>
      </w:r>
      <w:r xml:space="preserve">
        <w:t> </w:t>
      </w:r>
      <w:r>
        <w:t xml:space="preserve">A state agency shall provide </w:t>
      </w:r>
      <w:r>
        <w:rPr>
          <w:u w:val="single"/>
        </w:rPr>
        <w:t xml:space="preserve">to the department: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the</w:t>
      </w:r>
      <w:r>
        <w:t xml:space="preserve">] information </w:t>
      </w:r>
      <w:r>
        <w:rPr>
          <w:u w:val="single"/>
        </w:rPr>
        <w:t xml:space="preserve">related to the subjects described</w:t>
      </w:r>
      <w:r>
        <w:t xml:space="preserve"> [</w:t>
      </w:r>
      <w:r>
        <w:rPr>
          <w:strike/>
        </w:rPr>
        <w:t xml:space="preserve">required</w:t>
      </w:r>
      <w:r>
        <w:t xml:space="preserve">] by Subsection (b) [</w:t>
      </w:r>
      <w:r>
        <w:rPr>
          <w:strike/>
        </w:rPr>
        <w:t xml:space="preserve">to the department</w:t>
      </w:r>
      <w:r>
        <w:t xml:space="preserve">] according to a schedule determined by the department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access to the state agency's information technology infrastructure</w:t>
      </w:r>
      <w:r>
        <w:t xml:space="preserve">.</w:t>
      </w:r>
    </w:p>
    <w:p w:rsidR="003F3435" w:rsidRDefault="0032493E">
      <w:pPr>
        <w:spacing w:line="480" w:lineRule="auto"/>
        <w:ind w:firstLine="720"/>
        <w:jc w:val="both"/>
      </w:pPr>
      <w:r>
        <w:t xml:space="preserve">(d)</w:t>
      </w:r>
      <w:r xml:space="preserve">
        <w:t> </w:t>
      </w:r>
      <w:r xml:space="preserve">
        <w:t> </w:t>
      </w:r>
      <w:r>
        <w:t xml:space="preserve">Not later than </w:t>
      </w:r>
      <w:r>
        <w:rPr>
          <w:u w:val="single"/>
        </w:rPr>
        <w:t xml:space="preserve">December 1</w:t>
      </w:r>
      <w:r>
        <w:t xml:space="preserve"> [</w:t>
      </w:r>
      <w:r>
        <w:rPr>
          <w:strike/>
        </w:rPr>
        <w:t xml:space="preserve">November 15</w:t>
      </w:r>
      <w:r>
        <w:t xml:space="preserve">] of each even-numbered year, the department shall submit to the governor, chair of the house appropriations committee, chair of the senate finance committee, speaker of the house of representatives, lieutenant governor, and staff of the Legislative Budget Board a consolidated report </w:t>
      </w:r>
      <w:r>
        <w:rPr>
          <w:u w:val="single"/>
        </w:rPr>
        <w:t xml:space="preserve">on the audits conducted</w:t>
      </w:r>
      <w:r>
        <w:t xml:space="preserve"> [</w:t>
      </w:r>
      <w:r>
        <w:rPr>
          <w:strike/>
        </w:rPr>
        <w:t xml:space="preserve">of the information submitted by state agencies</w:t>
      </w:r>
      <w:r>
        <w:t xml:space="preserve">] under Subsection (b).</w:t>
      </w:r>
    </w:p>
    <w:p w:rsidR="003F3435" w:rsidRDefault="0032493E">
      <w:pPr>
        <w:spacing w:line="480" w:lineRule="auto"/>
        <w:ind w:firstLine="720"/>
        <w:jc w:val="both"/>
      </w:pPr>
      <w:r>
        <w:t xml:space="preserve">(e)</w:t>
      </w:r>
      <w:r xml:space="preserve">
        <w:t> </w:t>
      </w:r>
      <w:r xml:space="preserve">
        <w:t> </w:t>
      </w:r>
      <w:r>
        <w:t xml:space="preserve">The consolidated report required by Subsection (d) must </w:t>
      </w:r>
      <w:r>
        <w:rPr>
          <w:u w:val="single"/>
        </w:rPr>
        <w:t xml:space="preserve">include</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include</w:t>
      </w:r>
      <w:r>
        <w:t xml:space="preserve">] an analysis and assessment of each state agency's security and operational risks;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for a state agency found to be at higher security and operational risks, [</w:t>
      </w:r>
      <w:r>
        <w:rPr>
          <w:strike/>
        </w:rPr>
        <w:t xml:space="preserve">include</w:t>
      </w:r>
      <w:r>
        <w:t xml:space="preserve">] a detailed analysis of agency efforts to address the risks and related vulnerabilities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information submitted by state agencies under Subsection (c);</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department's recommendations relating to the state agency's information technology infrastructure;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ranking of each state agency based on the efficacy and ease of use of the agency's information technology infrastructure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