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88R13607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Garcia, Lopez of Bexar, Bumgarner, Gates,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3220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Anderson,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assessment on the use of surplus government property to provide housing to homeless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"Council" means the Texas Coordinating Council for Veterans Services established by Section 434.152,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"Surplus government property" means unused or underused federal, state, or local property, including real property, historic buildings, residential buildings, and commercial buildings.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"Workgroup" means the workgroup established under Section 2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ASSESSMENT; WORKGROUP.  (a)  The council shall establish and oversee a workgroup to assess the feasibility of using surplus government property to provide housing to homeless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workgroup is composed of the executive head of each of the following state agencies or that person's designee: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Texas Veterans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General Land Office;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Veterans' Land Board;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Texas Department of Housing and Community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council may by a majority vote include in the workgroup the executive head of any other state agency not listed in Subsection (b) of this section or that person's designee.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conducting the assessment under this section, the workgroup: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evaluate the availability of surplus government property in this state and the feasibility of developing housing units on that property to provide housing to homeless veterans;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identify potential funding sources to develop housing units on surplus government property,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federal historic tax credits;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federal housing tax credits;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corporate and private donations;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other existing state and federal funding sources;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proposed tenant rent payments;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identify veteran subpopulations that will most benefit from a program that facilitates the use or development of surplus government property to provide housing to homeless veterans;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consult with: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local housing authorities;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affordable housing developers;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organizations and persons with appropriate and relevant expertise on the housing needs of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November 1, 2024, the workgroup shall prepare and submit to the legislature a written report summarizing the results of the assessment conducted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 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