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88R12611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3221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information regarding disciplinary actions by the Texas Board of Nursing.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301.466, Occupations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t xml:space="preserve">The filing of formal charges against a nurse by the board, </w:t>
      </w:r>
      <w:r>
        <w:rPr>
          <w:u w:val="single"/>
        </w:rPr>
        <w:t xml:space="preserve">a list</w:t>
      </w:r>
      <w:r>
        <w:t xml:space="preserve"> [</w:t>
      </w:r>
      <w:r>
        <w:rPr>
          <w:strike/>
        </w:rPr>
        <w:t xml:space="preserve">the nature</w:t>
      </w:r>
      <w:r>
        <w:t xml:space="preserve">] of those charges, disciplinary proceedings of the board, and final disciplinary actions, including warnings and reprimands, by the board are not confidential and are subject to disclosure in accordance with Chapter 552, Government Code.</w:t>
      </w:r>
    </w:p>
    <w:p w:rsidR="003F3435" w:rsidRDefault="0032493E">
      <w:pPr>
        <w:spacing w:line="480" w:lineRule="auto"/>
        <w:ind w:firstLine="720"/>
        <w:jc w:val="both"/>
      </w:pPr>
      <w:r>
        <w:t xml:space="preserve">(d)</w:t>
      </w:r>
      <w:r xml:space="preserve">
        <w:t> </w:t>
      </w:r>
      <w:r xml:space="preserve">
        <w:t> </w:t>
      </w:r>
      <w:r>
        <w:t xml:space="preserve">Notwithstanding Subsection (c), if the board orders a nurse to participate in a peer assistance program approved by the board under Section 467.003, Health and Safety Code, the complaint, filing of formal charges, [</w:t>
      </w:r>
      <w:r>
        <w:rPr>
          <w:strike/>
        </w:rPr>
        <w:t xml:space="preserve">nature of those charges,</w:t>
      </w:r>
      <w:r>
        <w:t xml:space="preserve">] final board order, and disciplinary proceedings are subject to disclosure:</w:t>
      </w:r>
    </w:p>
    <w:p w:rsidR="003F3435" w:rsidRDefault="0032493E">
      <w:pPr>
        <w:spacing w:line="480" w:lineRule="auto"/>
        <w:ind w:firstLine="1440"/>
        <w:jc w:val="both"/>
      </w:pPr>
      <w:r>
        <w:t xml:space="preserve">(1)</w:t>
      </w:r>
      <w:r xml:space="preserve">
        <w:t> </w:t>
      </w:r>
      <w:r xml:space="preserve">
        <w:t> </w:t>
      </w:r>
      <w:r>
        <w:t xml:space="preserve">only to the same extent as information regarding a complaint is subject to disclosure under Subsection (b); or</w:t>
      </w:r>
    </w:p>
    <w:p w:rsidR="003F3435" w:rsidRDefault="0032493E">
      <w:pPr>
        <w:spacing w:line="480" w:lineRule="auto"/>
        <w:ind w:firstLine="1440"/>
        <w:jc w:val="both"/>
      </w:pPr>
      <w:r>
        <w:t xml:space="preserve">(2)</w:t>
      </w:r>
      <w:r xml:space="preserve">
        <w:t> </w:t>
      </w:r>
      <w:r xml:space="preserve">
        <w:t> </w:t>
      </w:r>
      <w:r>
        <w:t xml:space="preserve">in a subsequent matter relating to the board order or a subsequent violation of this chapter or a board rule </w:t>
      </w:r>
      <w:r>
        <w:rPr>
          <w:u w:val="single"/>
        </w:rPr>
        <w:t xml:space="preserve">that occurs not later than the second anniversary of the date the nurse successfully completed the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disciplinary action published on the nurse licensure verification page on the board's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of the nurse subject to the disciplinary action;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any formal charges against the nurse;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final disciplinary action taken by the board, including warnings and reprimands;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personal telephone number, home address, place of work name or address, or other contact information for the nurse;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nature of any formal charge filed against the nurse.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Board of Nursing shall update the nurse licensure verification page on the board's Internet website to meet the requirements of Section 301.466(e),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