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88R8828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requirements for individualized education programs developed for children with autism or other pervasive developmental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a child with autism or another pervasive developmental disorder, the committee must consider for inclusion in the child's individualized education program each strategy identified under commissioner rule as appropriate for autism or another pervasive developmental disorder and that is based on peer-reviewed, research-based educational programming practices.  The committee shall determine whether each strategy considered is appropriate and practicable to include in the child's individualized education program. </w:t>
      </w:r>
      <w:r>
        <w:rPr>
          <w:u w:val="single"/>
        </w:rPr>
        <w:t xml:space="preserve"> </w:t>
      </w:r>
      <w:r>
        <w:rPr>
          <w:u w:val="single"/>
        </w:rPr>
        <w:t xml:space="preserve">If the committee determines that a strategy is not appropriate or practicable to include in the child's individualized education program, the committee must include a written statement to that effect and the basis for that determination in the documentation for the child's individualized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29, Education Code, is amended by adding Section 29.0053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29.0053.</w:t>
      </w:r>
      <w:r>
        <w:rPr>
          <w:u w:val="single"/>
        </w:rPr>
        <w:t xml:space="preserve"> </w:t>
      </w:r>
      <w:r>
        <w:rPr>
          <w:u w:val="single"/>
        </w:rPr>
        <w:t xml:space="preserve"> </w:t>
      </w:r>
      <w:r>
        <w:rPr>
          <w:u w:val="single"/>
        </w:rPr>
        <w:t xml:space="preserve">ADDITIONAL PROGRAM REQUIREMENTS FOR STUDENTS WITH AUTISM OR ANOTHER PERVASIVE DEVELOPMENTAL DISORDER.  (a) </w:t>
      </w:r>
      <w:r>
        <w:rPr>
          <w:u w:val="single"/>
        </w:rPr>
        <w:t xml:space="preserve"> </w:t>
      </w:r>
      <w:r>
        <w:rPr>
          <w:u w:val="single"/>
        </w:rPr>
        <w:t xml:space="preserve">Not later than seven days before each meeting of an admission, review, and dismissal committee for a child with autism or another pervasive developmental disorder, a school district shall provide to the parent of the child written information regarding each strategy identified under commissioner rule as appropriate for autism or another pervasive developmental disorder and that is based on peer-reviewed, research-based educational programming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each meeting of an admission, review, and dismissal committee for a child with autism or another pervasive developmental disorder, the committee must consider each educational strategy adopted by the commissioner under Section 29.005(e-1) and determine whether the strategy is appropriate and practicable to include in the child's individualized education program. </w:t>
      </w:r>
      <w:r>
        <w:rPr>
          <w:u w:val="single"/>
        </w:rPr>
        <w:t xml:space="preserve"> </w:t>
      </w:r>
      <w:r>
        <w:rPr>
          <w:u w:val="single"/>
        </w:rPr>
        <w:t xml:space="preserve">If the committee determines to not include a strategy in the child's program, the committee shall include instead a statement to that effect and the basis on which the determination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child's parent is unable to speak English,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parent with a written or audiotaped copy of the written information required under Subsection (a) translated into Spanish if Spanish is the parent's native language;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parent's native language is a language other than Spanish, make a good faith effort to provide the parent with the written information required under Subsection (a) translated into the parent's native language.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