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counties to impose a county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352.002(a), Tax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Gulf of Mexico,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Gulf of Mexico;</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the United Mexican States and has a population of more than 300,000 and less than 800,000;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w:t>
      </w:r>
      <w:r>
        <w:rPr>
          <w:u w:val="single"/>
        </w:rPr>
        <w:t xml:space="preserve">or the childhood home</w:t>
      </w:r>
      <w:r>
        <w:t xml:space="preserv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more than 15,000 but less than 20,000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3235 was passed by the House on May 2, 2023, by the following vote:</w:t>
      </w:r>
      <w:r xml:space="preserve">
        <w:t> </w:t>
      </w:r>
      <w:r xml:space="preserve">
        <w:t> </w:t>
      </w:r>
      <w:r>
        <w:t xml:space="preserve">Yeas 118, Nays 26,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3235 was passed by the Senate on May 24, 2023,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