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w:t xml:space="preserve"> (Senate Sponsor</w:t>
      </w:r>
      <w:r xml:space="preserve">
        <w:t> </w:t>
      </w:r>
      <w:r>
        <w:t xml:space="preserve">-</w:t>
      </w:r>
      <w:r xml:space="preserve">
        <w:t> </w:t>
      </w:r>
      <w:r>
        <w:t xml:space="preserve">Campbell)</w:t>
      </w:r>
      <w:r xml:space="preserve">
        <w:tab wTab="150" tlc="none" cTlc="0"/>
      </w:r>
      <w:r>
        <w:t xml:space="preserve">H.B.</w:t>
      </w:r>
      <w:r xml:space="preserve">
        <w:t> </w:t>
      </w:r>
      <w:r>
        <w:t xml:space="preserve">No.</w:t>
      </w:r>
      <w:r xml:space="preserve">
        <w:t> </w:t>
      </w:r>
      <w:r>
        <w:t xml:space="preserve">3235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Natural Resources &amp; Economic Development;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certain counties to impose a county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the United Mexican States and has a population of more than 300,000 and less than 800,000;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w:t>
      </w:r>
      <w:r>
        <w:rPr>
          <w:u w:val="single"/>
        </w:rPr>
        <w:t xml:space="preserve">or the childhood home</w:t>
      </w:r>
      <w:r>
        <w:t xml:space="preserv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more than 15,000 but less than 20,000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