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88R12580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3238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family service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263.102, Family Code, is amended by adding Subsections (g), (h), (i), (j), and (k)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preparing a service plan, the department shall make reasonable accommodations for a parent with a disability as required by the Americans with Disabilities Act (42 U.S.C. Section 12101 et seq.).</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Services ordered in the service plan must be narrowly tailored to address the reason for the child's removal.</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court finds under Section 262.201 that a parent, managing conservator, possessory conservator, guardian, caretaker, or custodian entitled to possession did not cause the immediate danger to the physical health or safety of the child or was not the perpetrator of the neglect or abuse alleged in the suit, the court may not require that parent, managing conservator, possessory conservator, guardian, caretaker, or custodian entitled to possession to participate in services ordered in the service plan.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person receiving services under a service plan may obtain those services from a qualified provider selected by the person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selected provider is qualified or licensed to provide the services ordered under the service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services provided by the selected provider: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 the scope and duration of the services ordered under the service plan;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achieve the stated goals of the service plan;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selecting the provider pays for the services.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person receiving services from a service provider selected under Subsection (j) who successfully completes the services must obtain written verification from the service provider of that completion.  The department shall accept the service provider's verification as proof that the person has successfully completed the services ordered under the service plan.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service plan that is created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