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Kacal, Ashby, Lopez of Cameron</w:t>
      </w:r>
      <w:r xml:space="preserve">
        <w:tab wTab="150" tlc="none" cTlc="0"/>
      </w:r>
      <w:r>
        <w:t xml:space="preserve">H.B.</w:t>
      </w:r>
      <w:r xml:space="preserve">
        <w:t> </w:t>
      </w:r>
      <w:r>
        <w:t xml:space="preserve">No.</w:t>
      </w:r>
      <w:r xml:space="preserve">
        <w:t> </w:t>
      </w:r>
      <w:r>
        <w:t xml:space="preserve">3241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w:t>
      </w:r>
      <w:r>
        <w:t xml:space="preserve">tion of certain assets used for agricultural production and to the authority of a county commissioners court to adopt an exemption from ad valorem taxation by each taxing unit that taxes the property of the portion of the appraised value of a person's property that is attributable to the installation in or on the property of certain water conservation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11.162.</w:t>
      </w:r>
      <w:r>
        <w:rPr>
          <w:u w:val="single"/>
        </w:rPr>
        <w:t xml:space="preserve"> </w:t>
      </w:r>
      <w:r>
        <w:rPr>
          <w:u w:val="single"/>
        </w:rPr>
        <w:t xml:space="preserve"> </w:t>
      </w:r>
      <w:r>
        <w:rPr>
          <w:u w:val="single"/>
        </w:rPr>
        <w:t xml:space="preserve">FARM PRODUCTION INPUTS.  (a)  A producer is entitled to an exemption from taxation of any resources that the producer utilizes for the purpose of production.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Farm production inputs in the hands of the producer are exempt.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exemption, the following definitions apply: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"Farm production inputs" include seeds, weaned animals, fertilizer, pesticides, feed, and any other resources that are necessary to produce crops, fruit, flowers, and other products of the soil or farm products as defined by Section 11.16.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hands of the producer" means under the ownership of the person who is utilizing farm production inputs such as seeds, weaned animals, fertilizer, pesticides, feed, and any resources necessary to begin production, on January 1 of the tax year, for the purpose of producing crops, fruits, flowers, and other products of the soil or farm products as defined by Section 11.16.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11, Tax Code, is amended by adding Section 11.325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11.325.</w:t>
      </w:r>
      <w:r>
        <w:rPr>
          <w:u w:val="single"/>
        </w:rPr>
        <w:t xml:space="preserve"> </w:t>
      </w:r>
      <w:r>
        <w:rPr>
          <w:u w:val="single"/>
        </w:rPr>
        <w:t xml:space="preserve"> </w:t>
      </w:r>
      <w:r>
        <w:rPr>
          <w:u w:val="single"/>
        </w:rPr>
        <w:t xml:space="preserve">WATER CONSERVATION SYSTEMS.  (a) In this section, "graywater" has the meaning assigned by Section 341.039,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by order may adopt an exemption from taxation of the portion of the appraised value of a person's property that is attributable to the installation in or on the property of a rainwater harvesting or graywater system. An exemption adopted by a commissioners court under this section applies to the taxation of property by each taxing unit that taxes the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11.325, Tax Code, as added by this Act, applies only to ad valorem taxes imposed for a tax year that begins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Section 11.325, Tax Code, as added by this Act, takes effect January 1, 2024, but only if the constitutional amendment to authorize the commissioners court of a county to exempt from ad valorem taxation by each political subdivision that taxes the property the portion of the assessed value of a person's property that is attributable to the installation in or on the property of a rainwater harvesting or graywater system is approved by the voters. If that amendment is not approved by the voters, Section 11.325, Tax Code, as added by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