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88R13483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Manuel, Bernal, Bumgarner, Bailes</w:t>
      </w:r>
      <w:r xml:space="preserve">
        <w:tab wTab="150" tlc="none" cTlc="0"/>
      </w:r>
      <w:r>
        <w:t xml:space="preserve">H.B.</w:t>
      </w:r>
      <w:r xml:space="preserve">
        <w:t> </w:t>
      </w:r>
      <w:r>
        <w:t xml:space="preserve">No.</w:t>
      </w:r>
      <w:r xml:space="preserve">
        <w:t> </w:t>
      </w:r>
      <w:r>
        <w:t xml:space="preserve">3245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consideration of the location of a bidder's principal place of business in certain municipality contracts.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271.9051(b),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In purchasing under this title any real property, personal property that is not affixed to real property, or services, if a municipality receives one or more competitive sealed bids from a bidder whose principal place of business is in the municipality and whose bid is within five percent of the lowest bid price received by the municipality from a bidder who is not a resident of the municipality, the municipality may enter into a contract for construction services [</w:t>
      </w:r>
      <w:r>
        <w:rPr>
          <w:strike/>
        </w:rPr>
        <w:t xml:space="preserve">in an amount of less than $100,000</w:t>
      </w:r>
      <w:r>
        <w:t xml:space="preserve">] or [</w:t>
      </w:r>
      <w:r>
        <w:rPr>
          <w:strike/>
        </w:rPr>
        <w:t xml:space="preserve">a contract for</w:t>
      </w:r>
      <w:r>
        <w:t xml:space="preserve">] other purchases in an amount of less than $500,000 with:</w:t>
      </w:r>
    </w:p>
    <w:p w:rsidR="003F3435" w:rsidRDefault="0032493E">
      <w:pPr>
        <w:spacing w:line="480" w:lineRule="auto"/>
        <w:ind w:firstLine="1440"/>
        <w:jc w:val="both"/>
      </w:pPr>
      <w:r>
        <w:t xml:space="preserve">(1)</w:t>
      </w:r>
      <w:r xml:space="preserve">
        <w:t> </w:t>
      </w:r>
      <w:r xml:space="preserve">
        <w:t> </w:t>
      </w:r>
      <w:r>
        <w:t xml:space="preserve">the lowest bidder; or</w:t>
      </w:r>
    </w:p>
    <w:p w:rsidR="003F3435" w:rsidRDefault="0032493E">
      <w:pPr>
        <w:spacing w:line="480" w:lineRule="auto"/>
        <w:ind w:firstLine="1440"/>
        <w:jc w:val="both"/>
      </w:pPr>
      <w:r>
        <w:t xml:space="preserve">(2)</w:t>
      </w:r>
      <w:r xml:space="preserve">
        <w:t> </w:t>
      </w:r>
      <w:r xml:space="preserve">
        <w:t> </w:t>
      </w:r>
      <w:r>
        <w:t xml:space="preserve">the bidder whose principal place of business is in the municipality if the governing body of the municipality determines, in writing, that the local bidder offers the municipality the best combination of contract price and additional economic development opportunities for the municipality created by the contract award, including the employment of residents of the municipality and increased tax revenues to the municipality.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contract for which the initial notice soliciting bids is given on or after the effective date of this Act. A contract for which the initial notice soliciting bids is given before the effective date of this Act is governed by the law in effect on the date the initial notice is given,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