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88R10835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3247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criminal offense of prosecutorial misconduct.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39, Penal Code, is amended by adding Section 39.08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39.08.</w:t>
      </w:r>
      <w:r>
        <w:rPr>
          <w:u w:val="single"/>
        </w:rPr>
        <w:t xml:space="preserve"> </w:t>
      </w:r>
      <w:r>
        <w:rPr>
          <w:u w:val="single"/>
        </w:rPr>
        <w:t xml:space="preserve"> </w:t>
      </w:r>
      <w:r>
        <w:rPr>
          <w:u w:val="single"/>
        </w:rPr>
        <w:t xml:space="preserve">PROSECUTORIAL MISCONDUCT.  (a)  In this section, "prosecuting attorney" means an attorney who represents the state in a criminal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prosecuting attorney or working on behalf of a prosecuting attorney in a criminal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intentionally destroys, withholds from the defendant, or otherwise fails to disclose to the defendant information that the attorney or person is required to disclose under Article 39.14(h),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is actually innocent of the offense with which the defendant is charged;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described by Subdivision (2) was a substantial contributing factor to the wrongful conviction of the defendant.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prosecuting attorney;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obstructs the exoneration of a defendant for an offense of which the person knows the defendant was actually innocent and wrongfully convicted.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