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88R19716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perpetual care trust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712.025,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712.025.</w:t>
      </w:r>
      <w:r xml:space="preserve">
        <w:t> </w:t>
      </w:r>
      <w:r xml:space="preserve">
        <w:t> </w:t>
      </w:r>
      <w:r>
        <w:t xml:space="preserve">USE OF FUND DISTRIBUTIONS. Fund distributions may be used only to provide the perpetual care described by the instrument that established the fund, including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expansion of the perpetual care cemetery;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enhancement of the corporation's administrative capabilities with regard to maintaining and caring for the perpetual care cemetery;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general care and maintenance of the property entitled to perpetual care in the perpetual care cemetery.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