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88R12835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3252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perpetual care trust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712.021,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corporation has in the corporation's perpetual care trust fund a balance in an amount greater than the minimum capital amount the corporation is required by statute or rule to maintain, the corporation may petition the banking department to use that excess amount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the perpetual care cemetery;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enhance the corporation's administrative capabilities with regard to maintaining and caring for the perpetual care cemetery.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