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Meza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3264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removal of a county officer from office.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87.013,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87.013.</w:t>
      </w:r>
      <w:r xml:space="preserve">
        <w:t> </w:t>
      </w:r>
      <w:r xml:space="preserve">
        <w:t> </w:t>
      </w:r>
      <w:r>
        <w:t xml:space="preserve">GENERAL GROUNDS FOR REMOVAL.  (a) </w:t>
      </w:r>
      <w:r>
        <w:t xml:space="preserve"> </w:t>
      </w:r>
      <w:r>
        <w:t xml:space="preserve">An officer may be removed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incompetency;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official misconduct;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intoxication</w:t>
      </w:r>
      <w:r>
        <w:rPr>
          <w:u w:val="single"/>
        </w:rPr>
        <w:t xml:space="preserve">, as defined by Section 49.01(2) of the Penal Code,</w:t>
      </w:r>
      <w:r>
        <w:t xml:space="preserve"> on or off duty </w:t>
      </w:r>
      <w:r>
        <w:rPr>
          <w:strike/>
        </w:rPr>
        <w:t xml:space="preserve">caused by drinking an alcoholic beverage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Intoxication is not a ground for removal if it appears at the trial that the intoxication was caused by drinking an alcoholic beverage on the direction and prescription of a licensed physician practicing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3264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