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88R4375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3267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Texas Care Plan Medicaid buy-in program to provide health benefit plan coverage to certain persons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531.024443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531.024443.</w:t>
      </w:r>
      <w:r>
        <w:rPr>
          <w:u w:val="single"/>
        </w:rPr>
        <w:t xml:space="preserve"> </w:t>
      </w:r>
      <w:r>
        <w:rPr>
          <w:u w:val="single"/>
        </w:rPr>
        <w:t xml:space="preserve"> </w:t>
      </w:r>
      <w:r>
        <w:rPr>
          <w:u w:val="single"/>
        </w:rPr>
        <w:t xml:space="preserve">TEXAS CARE PLAN MEDICAID BUY-IN PROGRAM.  (a) </w:t>
      </w:r>
      <w:r>
        <w:rPr>
          <w:u w:val="single"/>
        </w:rPr>
        <w:t xml:space="preserve"> </w:t>
      </w:r>
      <w:r>
        <w:rPr>
          <w:u w:val="single"/>
        </w:rPr>
        <w:t xml:space="preserve">In this section, "program" means the Texas Care Plan Medicaid buy-in program implemented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seek a waiver under Section 1115 of the Social Security Act (42 U.S.C. Section 1315) to implement the Texas Care Plan Medicaid buy-in program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in consultation with the commissioner of insurance shall develop the program to allow residents of this state to purchase health benefit plan coverage through Medicaid by enrolling in a managed care plan offered by a Medicaid managed care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for the program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eligibility requirements for participation,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household income limits;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requirement that a program participant be ineligible for benefits under Medicaid, other than through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requirement that a program participant not have health benefit coverage under another health benefit plan because the participant does not have access to or cannot afford coverage through an employer-sponsored health benefit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financial participation by a program participant, including a requirement that a program participant pay, according to a sliding scale based on household income determined in accordance with commission rules that are consistent with the cost-sharing reduction eligibility categories provided by 45 C.F.R. Section 155.305(g), a portion of premiums imposed or cost-sharing payments required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program must be designed to leverage enhanced federal medical assistance percentage funding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program, including benefits offered under the program, must be substantively identical to the Medicaid buy-in programs established under Section 531.02444,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that programmatic differences are appropriate because of the populations served by the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health benefit plan under the program is not required to include nonemergency transportation services as defined by Section 531.02414.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apply for and actively pursue the waiver from the Centers for Medicare and Medicaid Services or any other federal agency required by Section 531.024443(b), Government Code, as added by this Act.  The commission may delay implementing Section 531.024443, Government Code, as added by this Act, until the waiver applied for under this section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