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88R14113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seizure of firearms during the emergency detention of certain persons who may have a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A peace officer who takes a person into custody under Subsection (a) </w:t>
      </w:r>
      <w:r>
        <w:rPr>
          <w:u w:val="single"/>
        </w:rPr>
        <w:t xml:space="preserve">shall</w:t>
      </w:r>
      <w:r>
        <w:t xml:space="preserve"> [</w:t>
      </w:r>
      <w:r>
        <w:rPr>
          <w:strike/>
        </w:rPr>
        <w:t xml:space="preserve">may</w:t>
      </w:r>
      <w:r>
        <w:t xml:space="preserve">] immediately seize any firearm found in possession of the person. </w:t>
      </w:r>
      <w:r>
        <w:t xml:space="preserve"> </w:t>
      </w:r>
      <w:r>
        <w:t xml:space="preserve">After seizing a firearm under this subsection, the peace officer shall comply with the requirements of Article 18.191,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apprehension for an emergency detention that occurs on or after the effective date of this Act. </w:t>
      </w:r>
      <w:r>
        <w:t xml:space="preserve"> </w:t>
      </w:r>
      <w:r>
        <w:t xml:space="preserve">An apprehension for emergency detention that occurs before the effective date of this Act is governed by the law in effect on the date the apprehension for emergency detention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