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prescription drug benefits under Medicaid and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531.0691.</w:t>
      </w:r>
      <w:r>
        <w:rPr>
          <w:u w:val="single"/>
        </w:rPr>
        <w:t xml:space="preserve"> </w:t>
      </w:r>
      <w:r>
        <w:rPr>
          <w:u w:val="single"/>
        </w:rPr>
        <w:t xml:space="preserve"> </w:t>
      </w:r>
      <w:r>
        <w:rPr>
          <w:u w:val="single"/>
        </w:rPr>
        <w:t xml:space="preserve">VENDOR DRUG PROGRAM INCLUSION.  (a) </w:t>
      </w:r>
      <w:r>
        <w:rPr>
          <w:u w:val="single"/>
        </w:rPr>
        <w:t xml:space="preserve"> </w:t>
      </w:r>
      <w:r>
        <w:rPr>
          <w:u w:val="single"/>
        </w:rPr>
        <w:t xml:space="preserve">The commission shall ensure that the vendor drug program includes all drugs and national drug codes made available under the federal Medicaid Drug Rebate Program if a certificate of information form to request the drug's inclusion in the vendor drug program has been submitted to the commission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approved by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(b), is pending review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certificate of information form to request the addition to the Texas Drug Code Index of a drug that is available under the federal Medicaid Drug Rebate Program, the commission shall, if the commission determines that the drug is appropriate for dispensing through an outpatient pharmacy, provisionally make the drug available under the vendor drug program for a period that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90th day after the date the form was submitted;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commission makes a determination regarding whether to approve or deny the drug's inclusion on the vendor drug program formulary.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denote the provisional availability of a drug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a drug made provisionally available under the vendor drug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expiration of the 90-day period prescribed by Subsection (b)(1);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on the date the commission  denies the drug's inclusion on the vendor drug program formulary.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533, Government Code, is amended by adding Subchapter C to read as follows:</w:t>
      </w:r>
    </w:p>
    <w:p w:rsidR="003F3435" w:rsidRDefault="0032493E">
      <w:pPr>
        <w:spacing w:line="480" w:lineRule="auto"/>
        <w:jc w:val="center"/>
      </w:pPr>
      <w:r>
        <w:rPr>
          <w:u w:val="single"/>
        </w:rPr>
        <w:t xml:space="preserve">SUBCHAPTER C.  PRESCRIPTION DRUG BENEFITS UNDER CERTAIN OUTPATIENT PHARMACY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533.071.</w:t>
      </w:r>
      <w:r>
        <w:rPr>
          <w:u w:val="single"/>
        </w:rPr>
        <w:t xml:space="preserve"> </w:t>
      </w:r>
      <w:r>
        <w:rPr>
          <w:u w:val="single"/>
        </w:rPr>
        <w:t xml:space="preserve"> </w:t>
      </w:r>
      <w:r>
        <w:rPr>
          <w:u w:val="single"/>
        </w:rPr>
        <w:t xml:space="preserve">PREFERRED DRUG LIST EXCEPTIONS. </w:t>
      </w:r>
      <w:r>
        <w:rPr>
          <w:u w:val="single"/>
        </w:rPr>
        <w:t xml:space="preserve"> </w:t>
      </w:r>
      <w:r>
        <w:rPr>
          <w:u w:val="single"/>
        </w:rPr>
        <w:t xml:space="preserve">(a) </w:t>
      </w:r>
      <w:r>
        <w:rPr>
          <w:u w:val="single"/>
        </w:rPr>
        <w:t xml:space="preserve"> </w:t>
      </w:r>
      <w:r>
        <w:rPr>
          <w:u w:val="single"/>
        </w:rPr>
        <w:t xml:space="preserve">The commission shall adopt rules allowing exceptions to the preferred drug list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drug required under the preferred drug list: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contraindicated;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likely cause an adverse reaction in or physical or mental harm to the recipient;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previously discontinued taking the preferred drug at any point in the recipient's clinical history and for any length of time because the drug: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effective;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had a diminished effect;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resulted in an adverse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recipient was prescribed and is taking a nonpreferred drug in the antidepressant or antipsychotic drug class and the recipient: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prescribed the nonpreferred drug before being discharged from an inpatient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stable on the nonpreferred drug;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at risk of experiencing complications from switching from the nonpreferred drug to another drug;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preferred drug is not available for reasons outside of the Medicaid managed care organization's control, including because: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drug is in short supply according to the Food and Drug Administration Drug Shortages Database;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drug's manufacturer has placed the drug on backorder or allocation.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exception provided under this section does not subject the Medicaid managed care plan to liquidated damages for failing to comply with the preferred drug list.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531.072, Government Code, is amended by adding Subsections (b-3), (g), and (h)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Subsection (b), the preferred drug lists must contain all therapeutic equivalents for a generic drug on the preferred drug list.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develop an expedited review process to consider requests from managed care organizations and providers to add drugs to the preferred drug list.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grant temporary non-preferred status to new drugs that are available but have not yet been reviewed by the drug utilization review board and establish criteria for authorizing drugs with temporary non-preferred status.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531.073(b),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establish procedures for the prior authorization requirement under the Medicaid vendor drug program to ensure that the requirements of 42 U.S.C. Section 1396r-8(d)(5) and its subsequent amendments are met. </w:t>
      </w:r>
      <w:r>
        <w:t xml:space="preserve"> </w:t>
      </w:r>
      <w:r>
        <w:t xml:space="preserve">Specifically, the procedures must ensure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prior authorization requirement is not imposed for a drug before the drug has been considered at a meeting of the Drug Utilization Review Board under Section 531.0736;</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will be a response to a request for prior authorization by telephone or other telecommunications device within 24 hours after receipt of a request for prior authorization;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72-hour supply of the drug prescribed will be provided in an emergency or if the commission does not provide a response within the time required by Subdivision </w:t>
      </w:r>
      <w:r>
        <w:rPr>
          <w:u w:val="single"/>
        </w:rPr>
        <w:t xml:space="preserve">(1)</w:t>
      </w:r>
      <w:r>
        <w:t xml:space="preserve"> </w:t>
      </w:r>
      <w:r>
        <w:t xml:space="preserve">[</w:t>
      </w:r>
      <w:r>
        <w:rPr>
          <w:strike/>
        </w:rPr>
        <w:t xml:space="preserve">(2)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531.0736(c)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determine the composition of the board, which must:</w:t>
      </w:r>
    </w:p>
    <w:p w:rsidR="003F3435" w:rsidRDefault="0032493E">
      <w:pPr>
        <w:spacing w:line="480" w:lineRule="auto"/>
        <w:ind w:firstLine="1440"/>
        <w:jc w:val="both"/>
      </w:pPr>
      <w:r>
        <w:t xml:space="preserve">(1)</w:t>
      </w:r>
      <w:r xml:space="preserve">
        <w:t> </w:t>
      </w:r>
      <w:r xml:space="preserve">
        <w:t> </w:t>
      </w:r>
      <w:r>
        <w:t xml:space="preserve">comply with applicable federal law, including 42 C.F.R. Section 456.716;</w:t>
      </w:r>
    </w:p>
    <w:p w:rsidR="003F3435" w:rsidRDefault="0032493E">
      <w:pPr>
        <w:spacing w:line="480" w:lineRule="auto"/>
        <w:ind w:firstLine="1440"/>
        <w:jc w:val="both"/>
      </w:pPr>
      <w:r>
        <w:t xml:space="preserve">(2)</w:t>
      </w:r>
      <w:r xml:space="preserve">
        <w:t> </w:t>
      </w:r>
      <w:r xml:space="preserve">
        <w:t> </w:t>
      </w:r>
      <w:r>
        <w:t xml:space="preserve">include </w:t>
      </w:r>
      <w:r>
        <w:rPr>
          <w:u w:val="single"/>
        </w:rPr>
        <w:t xml:space="preserve">three</w:t>
      </w:r>
      <w:r>
        <w:t xml:space="preserve"> [</w:t>
      </w:r>
      <w:r>
        <w:rPr>
          <w:strike/>
        </w:rPr>
        <w:t xml:space="preserve">two</w:t>
      </w:r>
      <w:r>
        <w:t xml:space="preserve">] representatives of managed care organizations [</w:t>
      </w:r>
      <w:r>
        <w:rPr>
          <w:strike/>
        </w:rPr>
        <w:t xml:space="preserve">as nonvoting members</w:t>
      </w:r>
      <w:r>
        <w:t xml:space="preserve">], </w:t>
      </w:r>
      <w:r>
        <w:rPr>
          <w:u w:val="single"/>
        </w:rPr>
        <w:t xml:space="preserve">all</w:t>
      </w:r>
      <w:r>
        <w:t xml:space="preserve"> [</w:t>
      </w:r>
      <w:r>
        <w:rPr>
          <w:strike/>
        </w:rPr>
        <w:t xml:space="preserve">one</w:t>
      </w:r>
      <w:r>
        <w:t xml:space="preserve">] of whom must be </w:t>
      </w:r>
      <w:r>
        <w:rPr>
          <w:u w:val="single"/>
        </w:rPr>
        <w:t xml:space="preserve">physicians or pharmacists</w:t>
      </w:r>
      <w:r>
        <w:t xml:space="preserve"> [</w:t>
      </w:r>
      <w:r>
        <w:rPr>
          <w:strike/>
        </w:rPr>
        <w:t xml:space="preserve">a physician and one of whom must be a pharmacist</w:t>
      </w:r>
      <w:r>
        <w:t xml:space="preserve">];</w:t>
      </w:r>
    </w:p>
    <w:p w:rsidR="003F3435" w:rsidRDefault="0032493E">
      <w:pPr>
        <w:spacing w:line="480" w:lineRule="auto"/>
        <w:ind w:firstLine="1440"/>
        <w:jc w:val="both"/>
      </w:pPr>
      <w:r>
        <w:t xml:space="preserve">(3)</w:t>
      </w:r>
      <w:r xml:space="preserve">
        <w:t> </w:t>
      </w:r>
      <w:r xml:space="preserve">
        <w:t> </w:t>
      </w:r>
      <w:r>
        <w:t xml:space="preserve">include at least 17 physicians and pharmacists who:</w:t>
      </w:r>
    </w:p>
    <w:p w:rsidR="003F3435" w:rsidRDefault="0032493E">
      <w:pPr>
        <w:spacing w:line="480" w:lineRule="auto"/>
        <w:ind w:firstLine="2160"/>
        <w:jc w:val="both"/>
      </w:pPr>
      <w:r>
        <w:t xml:space="preserve">(A)</w:t>
      </w:r>
      <w:r xml:space="preserve">
        <w:t> </w:t>
      </w:r>
      <w:r xml:space="preserve">
        <w:t> </w:t>
      </w:r>
      <w:r>
        <w:t xml:space="preserve">provide services across the entire population of Medicaid recipients and represent different specialties, including at least one of each of the following types of physicians:</w:t>
      </w:r>
    </w:p>
    <w:p w:rsidR="003F3435" w:rsidRDefault="0032493E">
      <w:pPr>
        <w:spacing w:line="480" w:lineRule="auto"/>
        <w:ind w:firstLine="2880"/>
        <w:jc w:val="both"/>
      </w:pPr>
      <w:r>
        <w:t xml:space="preserve">(i)</w:t>
      </w:r>
      <w:r xml:space="preserve">
        <w:t> </w:t>
      </w:r>
      <w:r xml:space="preserve">
        <w:t> </w:t>
      </w:r>
      <w:r>
        <w:t xml:space="preserve">a pediatrician;</w:t>
      </w:r>
    </w:p>
    <w:p w:rsidR="003F3435" w:rsidRDefault="0032493E">
      <w:pPr>
        <w:spacing w:line="480" w:lineRule="auto"/>
        <w:ind w:firstLine="2880"/>
        <w:jc w:val="both"/>
      </w:pPr>
      <w:r>
        <w:t xml:space="preserve">(ii)</w:t>
      </w:r>
      <w:r xml:space="preserve">
        <w:t> </w:t>
      </w:r>
      <w:r xml:space="preserve">
        <w:t> </w:t>
      </w:r>
      <w:r>
        <w:t xml:space="preserve">a primary care physician;</w:t>
      </w:r>
    </w:p>
    <w:p w:rsidR="003F3435" w:rsidRDefault="0032493E">
      <w:pPr>
        <w:spacing w:line="480" w:lineRule="auto"/>
        <w:ind w:firstLine="2880"/>
        <w:jc w:val="both"/>
      </w:pPr>
      <w:r>
        <w:t xml:space="preserve">(iii)</w:t>
      </w:r>
      <w:r xml:space="preserve">
        <w:t> </w:t>
      </w:r>
      <w:r xml:space="preserve">
        <w:t> </w:t>
      </w:r>
      <w:r>
        <w:t xml:space="preserve">an obstetrician and gynecologist;</w:t>
      </w:r>
    </w:p>
    <w:p w:rsidR="003F3435" w:rsidRDefault="0032493E">
      <w:pPr>
        <w:spacing w:line="480" w:lineRule="auto"/>
        <w:ind w:firstLine="2880"/>
        <w:jc w:val="both"/>
      </w:pPr>
      <w:r>
        <w:t xml:space="preserve">(iv)</w:t>
      </w:r>
      <w:r xml:space="preserve">
        <w:t> </w:t>
      </w:r>
      <w:r xml:space="preserve">
        <w:t> </w:t>
      </w:r>
      <w:r>
        <w:t xml:space="preserve">a child and adolescent psychiatrist; and</w:t>
      </w:r>
    </w:p>
    <w:p w:rsidR="003F3435" w:rsidRDefault="0032493E">
      <w:pPr>
        <w:spacing w:line="480" w:lineRule="auto"/>
        <w:ind w:firstLine="2880"/>
        <w:jc w:val="both"/>
      </w:pPr>
      <w:r>
        <w:t xml:space="preserve">(v)</w:t>
      </w:r>
      <w:r xml:space="preserve">
        <w:t> </w:t>
      </w:r>
      <w:r xml:space="preserve">
        <w:t> </w:t>
      </w:r>
      <w:r>
        <w:t xml:space="preserve">an adult psychiatrist; and</w:t>
      </w:r>
    </w:p>
    <w:p w:rsidR="003F3435" w:rsidRDefault="0032493E">
      <w:pPr>
        <w:spacing w:line="480" w:lineRule="auto"/>
        <w:ind w:firstLine="2160"/>
        <w:jc w:val="both"/>
      </w:pPr>
      <w:r>
        <w:t xml:space="preserve">(B)</w:t>
      </w:r>
      <w:r xml:space="preserve">
        <w:t> </w:t>
      </w:r>
      <w:r xml:space="preserve">
        <w:t> </w:t>
      </w:r>
      <w:r>
        <w:t xml:space="preserve">have experience in either developing or practicing under a preferred drug list; and</w:t>
      </w:r>
    </w:p>
    <w:p w:rsidR="003F3435" w:rsidRDefault="0032493E">
      <w:pPr>
        <w:spacing w:line="480" w:lineRule="auto"/>
        <w:ind w:firstLine="1440"/>
        <w:jc w:val="both"/>
      </w:pPr>
      <w:r>
        <w:t xml:space="preserve">(4)</w:t>
      </w:r>
      <w:r xml:space="preserve">
        <w:t> </w:t>
      </w:r>
      <w:r xml:space="preserve">
        <w:t> </w:t>
      </w:r>
      <w:r>
        <w:t xml:space="preserve">include a consumer advocate who represents Medicaid recipients.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 members</w:t>
      </w:r>
      <w:r>
        <w:t xml:space="preserve"> [</w:t>
      </w:r>
      <w:r>
        <w:rPr>
          <w:strike/>
        </w:rPr>
        <w:t xml:space="preserve">Members</w:t>
      </w:r>
      <w:r>
        <w:t xml:space="preserve">] appointed under Subsection (c)(2) may attend quarterly and other regularly scheduled meetings, but may not:</w:t>
      </w:r>
    </w:p>
    <w:p w:rsidR="003F3435" w:rsidRDefault="0032493E">
      <w:pPr>
        <w:spacing w:line="480" w:lineRule="auto"/>
        <w:ind w:firstLine="1440"/>
        <w:jc w:val="both"/>
      </w:pPr>
      <w:r>
        <w:t xml:space="preserve">(1)</w:t>
      </w:r>
      <w:r xml:space="preserve">
        <w:t> </w:t>
      </w:r>
      <w:r xml:space="preserve">
        <w:t> </w:t>
      </w:r>
      <w:r>
        <w:t xml:space="preserve">attend </w:t>
      </w:r>
      <w:r>
        <w:rPr>
          <w:u w:val="single"/>
        </w:rPr>
        <w:t xml:space="preserve">portions of the</w:t>
      </w:r>
      <w:r>
        <w:t xml:space="preserve"> executive sessions </w:t>
      </w:r>
      <w:r>
        <w:rPr>
          <w:u w:val="single"/>
        </w:rPr>
        <w:t xml:space="preserve">in which confidential drug pricing information is shared</w:t>
      </w:r>
      <w:r>
        <w:t xml:space="preserve">; or</w:t>
      </w:r>
    </w:p>
    <w:p w:rsidR="003F3435" w:rsidRDefault="0032493E">
      <w:pPr>
        <w:spacing w:line="480" w:lineRule="auto"/>
        <w:ind w:firstLine="1440"/>
        <w:jc w:val="both"/>
      </w:pPr>
      <w:r>
        <w:t xml:space="preserve">(2)</w:t>
      </w:r>
      <w:r xml:space="preserve">
        <w:t> </w:t>
      </w:r>
      <w:r xml:space="preserve">
        <w:t> </w:t>
      </w:r>
      <w:r>
        <w:t xml:space="preserve">access confidential drug pricing information.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3286 was passed by the House on May 5, 2023, by the following vote:</w:t>
      </w:r>
      <w:r xml:space="preserve">
        <w:t> </w:t>
      </w:r>
      <w:r xml:space="preserve">
        <w:t> </w:t>
      </w:r>
      <w:r>
        <w:t xml:space="preserve">Yeas 142, Nays 0, 1 present, not voting; and that the House concurred in Senate amendments to H.B. No. 3286 on May 25, 2023, by the following vote:</w:t>
      </w:r>
      <w:r xml:space="preserve">
        <w:t> </w:t>
      </w:r>
      <w:r xml:space="preserve">
        <w:t> </w:t>
      </w:r>
      <w:r>
        <w:t xml:space="preserve">Yeas 139,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3286 was passed by the Senate, with amendments,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