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88R24363 JG-F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Klick</w:t>
      </w:r>
      <w:r xml:space="preserve">
        <w:tab wTab="150" tlc="none" cTlc="0"/>
      </w:r>
      <w:r>
        <w:t xml:space="preserve">H.B.</w:t>
      </w:r>
      <w:r xml:space="preserve">
        <w:t> </w:t>
      </w:r>
      <w:r>
        <w:t xml:space="preserve">No.</w:t>
      </w:r>
      <w:r xml:space="preserve">
        <w:t> </w:t>
      </w:r>
      <w:r>
        <w:t xml:space="preserve">3286</w:t>
      </w:r>
    </w:p>
    <w:p w:rsidR="003F3435" w:rsidRDefault="0032493E">
      <w:pPr>
        <w:spacing w:line="480" w:lineRule="auto"/>
        <w:jc w:val="both"/>
      </w:pPr>
      <w:r>
        <w:t xml:space="preserve">Substitute the following for</w:t>
      </w:r>
      <w:r xml:space="preserve">
        <w:t> </w:t>
      </w:r>
      <w:r>
        <w:t xml:space="preserve">H.B.</w:t>
      </w:r>
      <w:r xml:space="preserve">
        <w:t> </w:t>
      </w:r>
      <w:r>
        <w:t xml:space="preserve">No.</w:t>
      </w:r>
      <w:r xml:space="preserve">
        <w:t> </w:t>
      </w:r>
      <w:r>
        <w:t xml:space="preserve">3286:</w:t>
      </w:r>
    </w:p>
    <w:p w:rsidR="003F3435" w:rsidRDefault="0032493E">
      <w:pPr>
        <w:spacing w:line="480" w:lineRule="auto"/>
        <w:jc w:val="both"/>
        <w:tabs>
          <w:tab w:val="right" w:leader="none" w:pos="9350"/>
        </w:tabs>
      </w:pPr>
      <w:r>
        <w:t xml:space="preserve">By:</w:t>
      </w:r>
      <w:r xml:space="preserve">
        <w:t> </w:t>
      </w:r>
      <w:r xml:space="preserve">
        <w:t> </w:t>
      </w:r>
      <w:r>
        <w:t xml:space="preserve">Harless</w:t>
      </w:r>
      <w:r xml:space="preserve">
        <w:tab wTab="150" tlc="none" cTlc="0"/>
      </w:r>
      <w:r>
        <w:t xml:space="preserve">C.S.H.B.</w:t>
      </w:r>
      <w:r xml:space="preserve">
        <w:t> </w:t>
      </w:r>
      <w:r>
        <w:t xml:space="preserve">No.</w:t>
      </w:r>
      <w:r xml:space="preserve">
        <w:t> </w:t>
      </w:r>
      <w:r>
        <w:t xml:space="preserve">3286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certain prescription drug benefits under the Medicaid managed care program.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533, Government Code, is amended by adding Subchapter C to read as follows:</w:t>
      </w:r>
    </w:p>
    <w:p w:rsidR="003F3435" w:rsidRDefault="0032493E">
      <w:pPr>
        <w:spacing w:line="480" w:lineRule="auto"/>
        <w:jc w:val="center"/>
      </w:pPr>
      <w:r>
        <w:rPr>
          <w:u w:val="single"/>
        </w:rPr>
        <w:t xml:space="preserve">SUBCHAPTER C.  PRESCRIPTION DRUG BENEFITS UNDER CERTAIN OUTPATIENT PHARMACY BENEFIT PLANS</w:t>
      </w:r>
    </w:p>
    <w:p w:rsidR="003F3435" w:rsidRDefault="0032493E">
      <w:pPr>
        <w:spacing w:line="480" w:lineRule="auto"/>
        <w:ind w:firstLine="720"/>
        <w:jc w:val="both"/>
      </w:pPr>
      <w:r>
        <w:rPr>
          <w:u w:val="single"/>
        </w:rPr>
        <w:t xml:space="preserve">Sec.</w:t>
      </w:r>
      <w:r>
        <w:rPr>
          <w:u w:val="single"/>
        </w:rPr>
        <w:t xml:space="preserve"> </w:t>
      </w:r>
      <w:r>
        <w:rPr>
          <w:u w:val="single"/>
        </w:rPr>
        <w:t xml:space="preserve">533.071.</w:t>
      </w:r>
      <w:r>
        <w:rPr>
          <w:u w:val="single"/>
        </w:rPr>
        <w:t xml:space="preserve"> </w:t>
      </w:r>
      <w:r>
        <w:rPr>
          <w:u w:val="single"/>
        </w:rPr>
        <w:t xml:space="preserve"> </w:t>
      </w:r>
      <w:r>
        <w:rPr>
          <w:u w:val="single"/>
        </w:rPr>
        <w:t xml:space="preserve">APPLICABILITY OF SUBCHAPTER.  This subchapter applies only to an outpatient pharmacy benefit plan implemented by a Medicaid managed care organization.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533.072.</w:t>
      </w:r>
      <w:r>
        <w:rPr>
          <w:u w:val="single"/>
        </w:rPr>
        <w:t xml:space="preserve"> </w:t>
      </w:r>
      <w:r>
        <w:rPr>
          <w:u w:val="single"/>
        </w:rPr>
        <w:t xml:space="preserve"> </w:t>
      </w:r>
      <w:r>
        <w:rPr>
          <w:u w:val="single"/>
        </w:rPr>
        <w:t xml:space="preserve">PREFERRED DRUG LIST EXCEPTIONS. </w:t>
      </w:r>
      <w:r>
        <w:rPr>
          <w:u w:val="single"/>
        </w:rPr>
        <w:t xml:space="preserve"> </w:t>
      </w:r>
      <w:r>
        <w:rPr>
          <w:u w:val="single"/>
        </w:rPr>
        <w:t xml:space="preserve">Notwithstanding any other law, a Medicaid managed care organization is not required to adhere to the preferred drug list adopted by the commission under Section 531.072 and shall grant an exception to the list with respect to a recipient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preferred drug: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is contraindicated;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will likely cause an adverse reaction in or physical or mental harm to the recipient;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is expected to be ineffective based on the known clinical characteristics of the recipient and the known characteristics of the prescription drug regimen;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recipient previously discontinued taking the preferred drug at any point in the recipient's clinical history and for any length of time because the drug: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was not effective;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had a diminished effect;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resulted in an adverse event;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preferred drug is not in the best interest of the recipient, based on clinical appropriateness, because the recipient's use of the drug is expected to cause a significant barrier to the recipient's adherence to or compliance with the recipient's plan of care;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recipient was prescribed and is taking a nonpreferred drug in the antidepressant or antipsychotic drug class and the recipient: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was prescribed the nonpreferred drug before being discharged from an inpatient facility;</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is stable on the nonpreferred drug;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is at risk of experiencing complications from switching from the nonpreferred drug to another drug;</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preferred drug is not available for reasons outside of the Medicaid managed care organization's control, including because: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drug is in short supply according to the Food and Drug Administration Drug Shortages Database;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drug's manufacturer has placed the drug on backorder or allocation; or</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the preferred drug is not available at a pharmacy located within a 10-mile radius of the recipient.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533.073.</w:t>
      </w:r>
      <w:r>
        <w:rPr>
          <w:u w:val="single"/>
        </w:rPr>
        <w:t xml:space="preserve"> </w:t>
      </w:r>
      <w:r>
        <w:rPr>
          <w:u w:val="single"/>
        </w:rPr>
        <w:t xml:space="preserve"> </w:t>
      </w:r>
      <w:r>
        <w:rPr>
          <w:u w:val="single"/>
        </w:rPr>
        <w:t xml:space="preserve">PREFERRED DRUG LIST; SEARCHABLE DATABASE OF PREFERRED DRUGS AND RESTRICTIONS. </w:t>
      </w:r>
      <w:r>
        <w:rPr>
          <w:u w:val="single"/>
        </w:rPr>
        <w:t xml:space="preserve"> </w:t>
      </w:r>
      <w:r>
        <w:rPr>
          <w:u w:val="single"/>
        </w:rPr>
        <w:t xml:space="preserve">The commission shall ensure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Internet-based, searchable database is made available through which a provider may search the applicable preferred drug list adopted by the commission under Section 531.072 to easily determine whether a prescription drug or drug class is subject to any prior authorization requirements, clinical edits, or other clinical restrictions;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reasonable efforts are made to ensure the database contains current information.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If before implementing any provision of this Act a state agency determines that a waiver or authorization from a federal agency is necessary for implementation of that provision, the agency affected by the provision shall request the waiver or authorization and may delay implementing that provision until the waiver or authorization is granted.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3286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