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88R13530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3293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a weight enforcement officer by a commissioners court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621.4015(a),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county commissioners court may designate a constable or deputy constable of the county as a weight enforcement officer in a county:</w:t>
      </w:r>
    </w:p>
    <w:p w:rsidR="003F3435" w:rsidRDefault="0032493E">
      <w:pPr>
        <w:spacing w:line="480" w:lineRule="auto"/>
        <w:ind w:firstLine="1440"/>
        <w:jc w:val="both"/>
      </w:pPr>
      <w:r>
        <w:t xml:space="preserve">(1)</w:t>
      </w:r>
      <w:r xml:space="preserve">
        <w:t> </w:t>
      </w:r>
      <w:r xml:space="preserve">
        <w:t> </w:t>
      </w:r>
      <w:r>
        <w:t xml:space="preserve">that is a county with a population of 1.5 million or more and is within 200 miles of an international border;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that is adjacent to a county with a population of 3.3 million or more</w:t>
      </w:r>
      <w:r>
        <w:rPr>
          <w:u w:val="single"/>
        </w:rPr>
        <w:t xml:space="preserve">,</w:t>
      </w:r>
      <w:r>
        <w:t xml:space="preserve"> [</w:t>
      </w:r>
      <w:r>
        <w:rPr>
          <w:strike/>
        </w:rPr>
        <w:t xml:space="preserve">;</w:t>
      </w:r>
      <w:r>
        <w:t xml:space="preserve">] and</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in which a planned community is located that has 20,000 or more acres of land, that was originally established under the Urban Growth and New Community Development Act of 1970 (42 U.S.C. Section 4501 et seq.), and that is subject to restrictive covenants containing ad valorem or annual variable budget based assessments on real property</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contains an international port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