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certain park land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253.001, Local Government Code, is amended by adding Subsection (m)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apply to a conveyance of park land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 by a home-rule municipality with a population of less than 11,000;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adjacent to property owned by an independent school 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conveyed pursuant to a resolution or an ordinance that has an effective date before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