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(e)(3)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502.0024, Transportation Code, is amended to read as follows:</w:t>
      </w:r>
    </w:p>
    <w:p w:rsidR="003F3435" w:rsidRDefault="0032493E">
      <w:pPr>
        <w:spacing w:line="480" w:lineRule="auto"/>
        <w:ind w:firstLine="720"/>
        <w:jc w:val="both"/>
      </w:pPr>
      <w:r>
        <w:t xml:space="preserve">Sec.</w:t>
      </w:r>
      <w:r xml:space="preserve">
        <w:t> </w:t>
      </w:r>
      <w:r>
        <w:t xml:space="preserve">502.0024.</w:t>
      </w:r>
      <w:r xml:space="preserve">
        <w:t> </w:t>
      </w:r>
      <w:r xml:space="preserve">
        <w:t> </w:t>
      </w:r>
      <w:r>
        <w:t xml:space="preserve">EXTENDED REGISTRATION OF CERTAIN </w:t>
      </w:r>
      <w:r>
        <w:rPr>
          <w:u w:val="single"/>
        </w:rPr>
        <w:t xml:space="preserve">TRAILERS</w:t>
      </w:r>
      <w:r>
        <w:t xml:space="preserve"> [</w:t>
      </w:r>
      <w:r>
        <w:rPr>
          <w:strike/>
        </w:rPr>
        <w:t xml:space="preserve">VEHICLES NOT SUBJECT TO INSPECTION</w:t>
      </w:r>
      <w:r>
        <w:t xml:space="preserve">]. </w:t>
      </w:r>
      <w:r>
        <w:t xml:space="preserve"> </w:t>
      </w:r>
      <w:r>
        <w:t xml:space="preserve">(a) </w:t>
      </w:r>
      <w:r>
        <w:t xml:space="preserve"> </w:t>
      </w:r>
      <w:r>
        <w:t xml:space="preserve">Notwithstanding Section 502.044(c), the department shall develop and implement a system of registration to allow an owner of a </w:t>
      </w:r>
      <w:r>
        <w:rPr>
          <w:u w:val="single"/>
        </w:rPr>
        <w:t xml:space="preserve">trailer, semitrailer, or pole trailer having an actual gross weight or registered gross weight of 7,500 pounds or less</w:t>
      </w:r>
      <w:r>
        <w:t xml:space="preserve"> [</w:t>
      </w:r>
      <w:r>
        <w:rPr>
          <w:strike/>
        </w:rPr>
        <w:t xml:space="preserve">vehicle described by Section 548.052(3) other than a mobile home</w:t>
      </w:r>
      <w:r>
        <w:t xml:space="preserv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548.510 shall be remitted to the comptroller for deposit in the Texas mobility fund, the general revenue fund, and the clean air account in amounts proportionate to the allocation prescribed by Subsection </w:t>
      </w:r>
      <w:r>
        <w:rPr>
          <w:u w:val="single"/>
        </w:rPr>
        <w:t xml:space="preserve">(d)</w:t>
      </w:r>
      <w:r>
        <w:t xml:space="preserve"> </w:t>
      </w:r>
      <w:r>
        <w:t xml:space="preserve">[</w:t>
      </w:r>
      <w:r>
        <w:rPr>
          <w:strike/>
        </w:rPr>
        <w:t xml:space="preserve">(b)</w:t>
      </w:r>
      <w:r>
        <w:t xml:space="preserve">]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502.0025(d)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w:t>
      </w:r>
      <w:r>
        <w:rPr>
          <w:u w:val="single"/>
        </w:rPr>
        <w:t xml:space="preserve">any applicable</w:t>
      </w:r>
      <w:r>
        <w:t xml:space="preserve"> [</w:t>
      </w:r>
      <w:r>
        <w:rPr>
          <w:strike/>
        </w:rPr>
        <w:t xml:space="preserve">the</w:t>
      </w:r>
      <w:r>
        <w:t xml:space="preserve">] inspection requirements of Chapter 548 as if the vehicle, semitrailer, or trailer were registered without an extended registration period.</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w:t>
      </w:r>
      <w:r>
        <w:rPr>
          <w:u w:val="single"/>
        </w:rPr>
        <w:t xml:space="preserve">applicable</w:t>
      </w:r>
      <w:r>
        <w:t xml:space="preserve"> [</w:t>
      </w:r>
      <w:r>
        <w:rPr>
          <w:strike/>
        </w:rPr>
        <w:t xml:space="preserve">the</w:t>
      </w:r>
      <w:r>
        <w:t xml:space="preserv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front safety belts if safety belt anchorages were part of the manufacturer's original equipment on the vehicle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motor vehicle that is an assembled vehicle, as defined by Section 731.001, front safety belts in vehicles that contain safety belt anchorages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 of this code</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 of this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$16.75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w:t>
      </w:r>
      <w:r>
        <w:rPr>
          <w:u w:val="single"/>
        </w:rPr>
        <w:t xml:space="preserve">paid</w:t>
      </w:r>
      <w:r>
        <w:t xml:space="preserve"> [</w:t>
      </w:r>
      <w:r>
        <w:rPr>
          <w:strike/>
        </w:rPr>
        <w:t xml:space="preserve">remitted to the comptroller</w:t>
      </w:r>
      <w:r>
        <w:t xml:space="preserve">] under </w:t>
      </w:r>
      <w:r>
        <w:rPr>
          <w:u w:val="single"/>
        </w:rPr>
        <w:t xml:space="preserve">Subsection (a)</w:t>
      </w:r>
      <w:r>
        <w:t xml:space="preserve"> [</w:t>
      </w:r>
      <w:r>
        <w:rPr>
          <w:strike/>
        </w:rPr>
        <w:t xml:space="preserve">this section</w:t>
      </w:r>
      <w:r>
        <w:t xml:space="preserve">] shall be deposited </w:t>
      </w:r>
      <w:r>
        <w:rPr>
          <w:u w:val="single"/>
        </w:rPr>
        <w:t xml:space="preserve">by the comptroller after receipt under Section 548.509</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paid under Subsection (b) shall be deposited by the comptroller after receipt under Section 548.509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$12.75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731.101(a),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w:t>
      </w:r>
      <w:r>
        <w:rPr>
          <w:u w:val="single"/>
        </w:rPr>
        <w:t xml:space="preserve">any</w:t>
      </w:r>
      <w:r>
        <w:t xml:space="preserve"> [</w:t>
      </w:r>
      <w:r>
        <w:rPr>
          <w:strike/>
        </w:rPr>
        <w:t xml:space="preserve">the</w:t>
      </w:r>
      <w:r>
        <w:t xml:space="preserv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January 1, 2025,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January 1, 2025.</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3297 was passed by the House on May 5, 2023, by the following vote:</w:t>
      </w:r>
      <w:r xml:space="preserve">
        <w:t> </w:t>
      </w:r>
      <w:r xml:space="preserve">
        <w:t> </w:t>
      </w:r>
      <w:r>
        <w:t xml:space="preserve">Yeas 105, Nays 40, 1 present, not voting; that the House refused to concur in Senate amendments to H.B. No. 3297 on May 25, 2023, and requested the appointment of a conference committee to consider the differences between the two houses; and that the House adopted the conference committee report on H.B. No. 3297 on May 28, 2023, by the following vote:</w:t>
      </w:r>
      <w:r xml:space="preserve">
        <w:t> </w:t>
      </w:r>
      <w:r xml:space="preserve">
        <w:t> </w:t>
      </w:r>
      <w:r>
        <w:t xml:space="preserve">Yeas 109, Nays 32,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3297 was passed by the Senate, with amendments, on May 21, 2023, by the following vote:</w:t>
      </w:r>
      <w:r xml:space="preserve">
        <w:t> </w:t>
      </w:r>
      <w:r xml:space="preserve">
        <w:t> </w:t>
      </w:r>
      <w:r>
        <w:t xml:space="preserve">Yeas 20, Nays 11; at the request of the House, the Senate appointed a conference committee to consider the differences between the two houses; and that the Senate adopted the conference committee report on H.B. No. 3297 on May 28, 2023,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