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88R15802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3298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sales and use taxes for educational materials purchased by a teacher.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Effective January 1, 2024, Subchapter H, Chapter 151, Tax Code, is amended by adding Section 151.3272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151.3272.</w:t>
      </w:r>
      <w:r>
        <w:rPr>
          <w:u w:val="single"/>
        </w:rPr>
        <w:t xml:space="preserve"> </w:t>
      </w:r>
      <w:r>
        <w:rPr>
          <w:u w:val="single"/>
        </w:rPr>
        <w:t xml:space="preserve"> </w:t>
      </w:r>
      <w:r>
        <w:rPr>
          <w:u w:val="single"/>
        </w:rPr>
        <w:t xml:space="preserve">EDUCATIONAL MATERIALS PURCHASED BY TEACHER.  (a) </w:t>
      </w:r>
      <w:r>
        <w:rPr>
          <w:u w:val="single"/>
        </w:rPr>
        <w:t xml:space="preserve"> </w:t>
      </w:r>
      <w:r>
        <w:rPr>
          <w:u w:val="single"/>
        </w:rPr>
        <w:t xml:space="preserve">In this section, "educational material" means a taxable item used for an educational purpose.  The term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used primarily for an educational purpose: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supply as that term is defined by Section 151.327;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book or other similar learning tool;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used exclusively for an educational purpose or a purpose related to employment as a teacher, an item of technology;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used exclusively for an educational purpose in the classroom, any other item used as a learning tool.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or storage, use, or other consumption of an educational material is exempted from the taxes imposed by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educational material is purchased by a teacher employed at a public school or open-enrollment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completes, signs, and presents at the time of purchase the exemption certificate form described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in coordination with the Texas Education Agency, shall develop an exemption certificate form that a teacher must complete and use to claim the exemption provided by Subsection (b). </w:t>
      </w:r>
      <w:r>
        <w:rPr>
          <w:u w:val="single"/>
        </w:rPr>
        <w:t xml:space="preserve"> </w:t>
      </w:r>
      <w:r>
        <w:rPr>
          <w:u w:val="single"/>
        </w:rPr>
        <w:t xml:space="preserve">The comptroller and the Texas Education Agency shall make the form available on the comptroller's and agency's Internet websites. </w:t>
      </w:r>
      <w:r>
        <w:rPr>
          <w:u w:val="single"/>
        </w:rPr>
        <w:t xml:space="preserve"> </w:t>
      </w:r>
      <w:r>
        <w:rPr>
          <w:u w:val="single"/>
        </w:rPr>
        <w:t xml:space="preserve">The exemption certificate must include a requirement that a teacher completing the form describe the educational purpose of an educational material described by Subsection (a)(3) for which the teacher seeks an exemption.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teacher may purchase not more than $500 of educational materials described by Subsection (a)(3) in a calendar year using the exemption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2023, the comptroller of public accounts and the Texas Education Agency shall post on the comptroller's and agency's Internet websites the exemption certificate form as required by Section 151.3272, Tax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