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3301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dissolution of the Green Tree Park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Green Tree Park Municipal Utility District shall wind up the affairs of the district, including the filing of any dissolution documents with the Texas Commission on Environmental Quality.</w:t>
      </w:r>
    </w:p>
    <w:p w:rsidR="003F3435" w:rsidRDefault="0032493E">
      <w:pPr>
        <w:spacing w:line="480" w:lineRule="auto"/>
        <w:ind w:firstLine="720"/>
        <w:jc w:val="both"/>
      </w:pPr>
      <w:r>
        <w:t xml:space="preserve">(b)</w:t>
      </w:r>
      <w:r xml:space="preserve">
        <w:t> </w:t>
      </w:r>
      <w:r xml:space="preserve">
        <w:t> </w:t>
      </w:r>
      <w:r>
        <w:t xml:space="preserve">On the 60th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Green Tree Park Municipal Utility District is dissolved; and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on the 61st day after the effective date of this Act, Chapter 7889, Special District Local Laws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2 of this Act,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