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88R9480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3303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dual language immersion bilingual education teaching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21.04892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21.04892.</w:t>
      </w:r>
      <w:r>
        <w:rPr>
          <w:u w:val="single"/>
        </w:rPr>
        <w:t xml:space="preserve"> </w:t>
      </w:r>
      <w:r>
        <w:rPr>
          <w:u w:val="single"/>
        </w:rPr>
        <w:t xml:space="preserve"> </w:t>
      </w:r>
      <w:r>
        <w:rPr>
          <w:u w:val="single"/>
        </w:rPr>
        <w:t xml:space="preserve">DUAL LANGUAGE IMMERSION BILINGUAL EDUCATION CERTIFICATION.  (a) </w:t>
      </w:r>
      <w:r>
        <w:rPr>
          <w:u w:val="single"/>
        </w:rPr>
        <w:t xml:space="preserve"> </w:t>
      </w:r>
      <w:r>
        <w:rPr>
          <w:u w:val="single"/>
        </w:rPr>
        <w:t xml:space="preserve">The board shall establish a dual language immersion bilingual education teaching certificate to provide instruction to high school students in bilingual education programs using a dual language immersion/one-way or two-way program model.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certificate established under this section,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satisfactorily complete the coursework for that certificate in an educator preparation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satisfactorily on the Bilingual Target Language Proficiency Test;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any other requirements prescribed by the board designed to address specific linguistic and content requirements for effective instruction in a dual language immersion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propose rules to allow a person seeking certification under this section who fails to perform satisfactorily on the Bilingual Target Language Proficiency Test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retake only the sections of the test that include the domains on which the person failed to perform satisfactorily;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for Educator Certification shall propose rules prescribing requirements for an educator certification in dual language immersion bilingual education teaching as provided by Section 21.04892,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