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88R3387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H.B.</w:t>
      </w:r>
      <w:r xml:space="preserve">
        <w:t> </w:t>
      </w:r>
      <w:r>
        <w:t xml:space="preserve">No.</w:t>
      </w:r>
      <w:r xml:space="preserve">
        <w:t> </w:t>
      </w:r>
      <w:r>
        <w:t xml:space="preserve">3309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issuance by the Railroad Commission of Texas of a permit for certain commercial surface disposal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91, Natural Resources Code, is amended by adding Section 91.118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91.118.</w:t>
      </w:r>
      <w:r>
        <w:rPr>
          <w:u w:val="single"/>
        </w:rPr>
        <w:t xml:space="preserve"> </w:t>
      </w:r>
      <w:r>
        <w:rPr>
          <w:u w:val="single"/>
        </w:rPr>
        <w:t xml:space="preserve"> </w:t>
      </w:r>
      <w:r>
        <w:rPr>
          <w:u w:val="single"/>
        </w:rPr>
        <w:t xml:space="preserve">PROHIBITION ON PERMIT FOR COMMERCIAL SURFACE DISPOSAL FACILITY IF ALTERNATIVE EXISTS.  (a)  In this section, "commercial surface disposal facility" has the meaning assigned by Section 91.116.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not approve an application for a permit for a commercial surface disposal facility unless the commission determines the facility is necessary after considering whether a practical, economic, and feasible alternative to the facility exists that is reasonably available to provide disposal of the types of fluids and waste for which the permit is sought.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that is filed with the Railroad Commission of Texas on or after the effective date of this Act.  An application for a permit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