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Lozano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3310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deadlines for the claims appraisal process of the Texas Windstorm Insurance Association.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2210.574(d), Insurance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If a claimant demands appraisal under this section: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appraisal must be conducted as provided by the association policy;</w:t>
      </w:r>
      <w:r>
        <w:rPr>
          <w:strike/>
        </w:rPr>
        <w:t xml:space="preserve">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claimant and the association are responsible in equal shares for paying any costs incurred or charged in connection with the appraisal, including a fee charged under Subsection (e)</w:t>
      </w:r>
      <w:r>
        <w:rPr>
          <w:strike/>
        </w:rPr>
        <w:t xml:space="preserve">.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With the advice of the association, the commissioner shall adopt rules establishing the period in which the appraisal must be completed.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January 1, 2024.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3310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