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3310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Business &amp; Commerce;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deadlines for the claims appraisal process of the Texas Windstorm Insurance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2210.574, Insurance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If a claimant demands appraisal under this section:</w:t>
      </w:r>
    </w:p>
    <w:p w:rsidR="003F3435" w:rsidRDefault="0032493E">
      <w:pPr>
        <w:spacing w:line="480" w:lineRule="auto"/>
        <w:ind w:firstLine="1440"/>
        <w:jc w:val="both"/>
      </w:pPr>
      <w:r>
        <w:t xml:space="preserve">(1)</w:t>
      </w:r>
      <w:r xml:space="preserve">
        <w:t> </w:t>
      </w:r>
      <w:r xml:space="preserve">
        <w:t> </w:t>
      </w:r>
      <w:r>
        <w:t xml:space="preserve">the appraisal must be conducted as provided by the association policy;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claimant and the association are responsible in equal shares for paying any costs incurred or charged in connection with the appraisal, including a fee charged under Subsection (e)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appraisal must be completed within the period established under Subsection (d-1)</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consultation with the association, the commissioner shall adopt rules establishing the period in which an appraisal demanded under this section must be completed.  In adopting the rules,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flexibility for an adequate investigation of the claim that is the subject of the appraisal;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the time necessary to preserve the independence of the appraisers.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commissioner of insurance shall adopt rules required by Section 2210.574, Insurance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2210.574, Insurance Code, as amended by this Act, applies only to an appraisal demanded on or after January 1, 2024.  An appraisal demanded before January 1, 2024, is governed by the law in effect on the date the appraisal was demanded,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