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process of selecting representatives of the insurance industry to serve on the board of directors of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2210.102(f), Insurance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