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88R20490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Goodwin</w:t>
      </w:r>
      <w:r xml:space="preserve">
        <w:tab wTab="150" tlc="none" cTlc="0"/>
      </w:r>
      <w:r>
        <w:t xml:space="preserve">H.B.</w:t>
      </w:r>
      <w:r xml:space="preserve">
        <w:t> </w:t>
      </w:r>
      <w:r>
        <w:t xml:space="preserve">No.</w:t>
      </w:r>
      <w:r xml:space="preserve">
        <w:t> </w:t>
      </w:r>
      <w:r>
        <w:t xml:space="preserve">3322</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3322:</w:t>
      </w: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C.S.H.B.</w:t>
      </w:r>
      <w:r xml:space="preserve">
        <w:t> </w:t>
      </w:r>
      <w:r>
        <w:t xml:space="preserve">No.</w:t>
      </w:r>
      <w:r xml:space="preserve">
        <w:t> </w:t>
      </w:r>
      <w:r>
        <w:t xml:space="preserve">3322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office of food system security and resiliency in the Department of Agriculture.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12, Agriculture Code, is amended by adding Section 12.052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12.052.</w:t>
      </w:r>
      <w:r>
        <w:rPr>
          <w:u w:val="single"/>
        </w:rPr>
        <w:t xml:space="preserve"> </w:t>
      </w:r>
      <w:r>
        <w:rPr>
          <w:u w:val="single"/>
        </w:rPr>
        <w:t xml:space="preserve"> </w:t>
      </w:r>
      <w:r>
        <w:rPr>
          <w:u w:val="single"/>
        </w:rPr>
        <w:t xml:space="preserve">OFFICE OF FOOD SYSTEM SECURITY AND RESILIENCY.  (a) </w:t>
      </w:r>
      <w:r>
        <w:rPr>
          <w:u w:val="single"/>
        </w:rPr>
        <w:t xml:space="preserve"> </w:t>
      </w:r>
      <w:r>
        <w:rPr>
          <w:u w:val="single"/>
        </w:rPr>
        <w:t xml:space="preserve">In this section, "office" means the office of food system security and resiliency established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food system security and resiliency is established as a division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is responsible for food system security and resiliency in this state,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coordinating state resources and programs so food access industry professionals can efficiently use resources to meet the needs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 a food system in this state that is free of disruption;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promoting the growth, manufacture, and processing of agricultural products in this state for farm-to-store and farm-to-table consumption;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developing regional food system security and resiliency planning by working with other state agencies, counties, municipalities, school districts, and local governments;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promoting policies to establish more localized food markets or food access points through measures such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connecting retailers, distributors, municipalities, counties, school districts, and other local governments to local producers;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collaborating with local stakeholders to expand food access across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not later than December 1 of each even-numbered year, make recommendations to the legislature for legislation that may improve food system security and resiliency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Texas food system security and resiliency planning council is established by an Act of the 88th Legislature, Regular Session, 2023, the office shall manage that council and coordinate with that council to implement Subsection (c)(5).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