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88R9794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use certain tax revenue for hotel and convention center projects and other qualified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 </w:t>
      </w:r>
      <w:r>
        <w:t xml:space="preserve"> 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described by Section 351.101(k)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351.155, Tax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subsection applies only to a municipality described by Section 351.152(46). </w:t>
      </w:r>
      <w:r>
        <w:rPr>
          <w:u w:val="single"/>
        </w:rPr>
        <w:t xml:space="preserve"> </w:t>
      </w:r>
      <w:r>
        <w:rPr>
          <w:u w:val="single"/>
        </w:rPr>
        <w:t xml:space="preserve">A municipality to which this subsection applies may pledge or commit the revenue derived from the tax imposed under this chapter from a qualified hotel and the revenue to which the municipality is entitled under Section 351.156 for the payment of bonds or other obligations issued for a convention center facility that, at the time the bonds or other obligations were issued, was not a qualified convention center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