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88R13542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3327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property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an employee of a public defender's office as defined by Article 26.044(a),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