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88R23287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3328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3328:</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3328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and municipalities to regulate certain subdivisions in a municipality's extraterritorial jurisdiction.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242, Local Government Code, is amended by adding Sections 242.0012 and 242.0013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242.0012.</w:t>
      </w:r>
      <w:r>
        <w:rPr>
          <w:u w:val="single"/>
        </w:rPr>
        <w:t xml:space="preserve"> </w:t>
      </w:r>
      <w:r>
        <w:rPr>
          <w:u w:val="single"/>
        </w:rPr>
        <w:t xml:space="preserve"> </w:t>
      </w:r>
      <w:r>
        <w:rPr>
          <w:u w:val="single"/>
        </w:rPr>
        <w:t xml:space="preserve">UNILATERAL AMENDMENT OF JURISDICTION AGREEMENT BY CERTAIN COUNTIES FOR CERTAIN PARCELS.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that has a population of more than 370,000 and contains more than eight municipalities, each with a population of less than 2,000;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parcel of land located in a county described by Subdivision (1)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greater than 10 acres in size or is platted as part of a phased development that is greater than 10 acres in size;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proposed to be subdivided into residential parcels, each less than one-half acre in size;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subject to an agreement under Section 42.044;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subject to an annexation agreement with a municipality in which the municipality annexes the parcel not later than the earlier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20th anniversary of the date any bond for improvements to the parcel is issued by a municipal utility district;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30th anniversary of the date the agreement is entered into.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by order may amend an agreement entered into under Section 242.001(c) with a municipality to transfer exclusive jurisdiction to the county to regulate subdivision platting for a parcel subject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county may amend an agreement under Subsection (b),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in person with a representative of the municipality that is a party to the agreement proposed to be amended;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municipality with written notice of the county's intent to amend the agreement not later than the 90th day before the date the county amends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county's authority under an amendment adopted under Subsection (b) applies only to a plat application filed on or after the date the county adopts the order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242.0013.</w:t>
      </w:r>
      <w:r>
        <w:rPr>
          <w:u w:val="single"/>
        </w:rPr>
        <w:t xml:space="preserve"> </w:t>
      </w:r>
      <w:r>
        <w:rPr>
          <w:u w:val="single"/>
        </w:rPr>
        <w:t xml:space="preserve"> </w:t>
      </w:r>
      <w:r>
        <w:rPr>
          <w:u w:val="single"/>
        </w:rPr>
        <w:t xml:space="preserve">AMENDMENT BY ARBITRATION FOR AGREEMENTS WITH CERTAIN COUNTIES.  (a) </w:t>
      </w:r>
      <w:r>
        <w:rPr>
          <w:u w:val="single"/>
        </w:rPr>
        <w:t xml:space="preserve"> </w:t>
      </w:r>
      <w:r>
        <w:rPr>
          <w:u w:val="single"/>
        </w:rPr>
        <w:t xml:space="preserve">This section applies only to a county that has a population of more than 370,000 and contains more than eight municipalities, each with a population of less than 2,000.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party to an agreement entered into under Section 242.001(c) may submit an amendment to the agreement to binding arbitration. </w:t>
      </w:r>
      <w:r>
        <w:rPr>
          <w:u w:val="single"/>
        </w:rPr>
        <w:t xml:space="preserve"> </w:t>
      </w:r>
      <w:r>
        <w:rPr>
          <w:u w:val="single"/>
        </w:rPr>
        <w:t xml:space="preserve">Except as provided by Subsection (c), the other party to the agreement may submit any other amendment to the agreement for consideration in the same arbitration not later than the 30th day after the date the other party receives notice of the arbitration.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 may not submit an amendment to arbitration under this section if the amendment applies to a parcel of land to which Section 242.0012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submitting an amendment to an agreement to arbitration under Subsection (b), the party that initiates the arbitration shall consult in person with and provide written notice not later than the 30th day before the date the arbitration is initiated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party is a county, a representative of the municipality that is the other party to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party is a municipality, a representative of the county that is the other party to the agreement and each other municipality in the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Only one arbitration may be conducted under this section every 10 years regarding the same agreement entered into under Section 242.001(c).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242.0015(b), (c), (e), (f), (g), and (h) apply to an arbitration conducted under this section. </w:t>
      </w:r>
      <w:r>
        <w:rPr>
          <w:u w:val="single"/>
        </w:rPr>
        <w:t xml:space="preserve"> </w:t>
      </w:r>
      <w:r>
        <w:rPr>
          <w:u w:val="single"/>
        </w:rPr>
        <w:t xml:space="preserve">The arbitrator or arbitration panel, as applicable, must be selected not later than the 30th day after the date a party provides notice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or municipality's authority under an amendment submitted under Subsection (b) applies only to a plat application filed on or after the date the arbitrator or arbitration panel, as applicable, renders a decision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