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3328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counties to regulate certain subdivisions in a municipality's extraterritorial jurisdiction.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242.001, Local Government Code, is amended by adding Subsection (d-1) and amending Subsection (f)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county that has a population of more than 370,000 and contains more than ten municipalities with a population of less than 2,000. A county by order may terminate an agreement entered into under Subsection (c) with a municipality. If a county terminates such an agreement: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has exclusive jurisdiction to regulate subdivision plats and approve related permits in the extraterritorial jurisdiction of the municipality that was a party to the agreement and may regulate subdivisions in the extraterritorial jurisdiction under Sections 231.001-232.005, Subchapter B or C, Chapter 232, and other statutes applicable to the county for any area exceeding five acres proposed to be divided into more than five parcels unless subject to an agreement with a municipality to annex the area within 25 years from the date of the subdivision application;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municipality that was party to the agreement has exclusive jurisdiction to regulate subdivision plats and approve related permits in its extraterritorial jurisdiction and may regulate subdivisions in its extraterritorial jurisdiction under Sections 231.001-232.005, Subchapter B or C, Chapter 232, and other statutes applicable to the municipality for any subdivision or area not subject to subdivision (1);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county's and municipality's authority as amended under this subsection applies only to an application submitted on or after the date the county adopts the order to terminate the agreement.</w:t>
      </w:r>
      <w:r>
        <w:t xml:space="preserve"> </w:t>
      </w:r>
    </w:p>
    <w:p w:rsidR="003F3435" w:rsidRDefault="0032493E">
      <w:pPr>
        <w:spacing w:line="480" w:lineRule="auto"/>
        <w:ind w:firstLine="720"/>
        <w:jc w:val="both"/>
      </w:pPr>
      <w:r>
        <w:t xml:space="preserve">(f)</w:t>
      </w:r>
      <w:r xml:space="preserve">
        <w:t> </w:t>
      </w:r>
      <w:r xml:space="preserve">
        <w:t> </w:t>
      </w:r>
      <w:r>
        <w:rPr>
          <w:u w:val="single"/>
        </w:rPr>
        <w:t xml:space="preserve">Except as provided by Subsection (d-1), if</w:t>
      </w:r>
      <w:r>
        <w:t xml:space="preserve"> [</w:t>
      </w:r>
      <w:r>
        <w:rPr>
          <w:strike/>
        </w:rPr>
        <w:t xml:space="preserve">If</w:t>
      </w:r>
      <w:r>
        <w:t xml:space="preserve">] a certified agreement between a county and municipality as required by Subsection (c) is not in effect on or before the applicable date prescribed by Section 242.0015(a), the municipality and the county must enter into arbitration as provided by Section 242.0015. If the arbitrator or arbitration panel, as applicable, has not reached a decision in the 60-day period as provided by Section 242.0015, the arbitrator or arbitration panel, as applicable, shall issue an interim decision regarding the regulation of plats and subdivisions and approval of related permits in the extraterritorial jurisdiction of the municipality. The interim decision shall provide for a single set of regulations and authorize a single entity to regulate plats and subdivisions. The interim decision remains in effect only until the arbitrator or arbitration panel reaches a final decision.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