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88R12515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menstrual products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51.9185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51.9185.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AVAILABILITY OF MENSTRUAL PRODUCTS.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"Institution of higher education" has the meaning assigned by Section 61.003.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"Menstrual products" means tampons and sanitary napkins for use in connection with the menstrual cycle.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institution of higher education shall make menstrual products available free of charge in each public women's restroom and public all-gender restroom located on the institution's campus, including in on-campus residence halls.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