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88R11631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3341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criminal defendants for an order of nondisclosure of criminal history record information for certain offenses committed when younger than 25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411, Government Code, is amended by adding Section 411.0739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411.0739.</w:t>
      </w:r>
      <w:r>
        <w:rPr>
          <w:u w:val="single"/>
        </w:rPr>
        <w:t xml:space="preserve"> </w:t>
      </w:r>
      <w:r>
        <w:rPr>
          <w:u w:val="single"/>
        </w:rPr>
        <w:t xml:space="preserve"> </w:t>
      </w:r>
      <w:r>
        <w:rPr>
          <w:u w:val="single"/>
        </w:rPr>
        <w:t xml:space="preserve">PROCEDURE FOR CONVICTION FOLLOWING SUCCESSFUL COMPLETION OF SENTENCE; CERTAIN MISDEMEANORS AND FELONIES COMMITTED WHEN YOUNGER THAN 25 YEARS OF AGE.  (a)  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convicted of an offense other than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younger than 25 years of age at the time the offense described by Subdivision (1) was committed;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previously received an order of nondisclosure of criminal history record information under this subchapter or other law for the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completes the person's sentence, including any term of confinement or period of community supervision imposed and payment of all fines, costs, and restitution imposed, may petition the court that imposed the sentence for an order of nondisclosure of criminal history record information under this section if the person satisfies the requirements of this section and Section 411.074.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411.074, a person may petition the court for an order of nondisclosure of criminal history record information under this section regardless of whether the person has been previously convicted of or placed on deferred adjudication community supervision for another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for which the person was convicted.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the court that imposed the sentence for an order of nondisclosure of criminal history record information under this section only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anniversary of the date of completion of the person's sentence, if the offense of which the person was convicted was a misdemeanor;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fifth anniversary of the date of completion of the person's sentence, if the offense of which the person was convicted was a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