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88R25645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3346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3346:</w:t>
      </w: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C.S.H.B.</w:t>
      </w:r>
      <w:r xml:space="preserve">
        <w:t> </w:t>
      </w:r>
      <w:r>
        <w:t xml:space="preserve">No.</w:t>
      </w:r>
      <w:r xml:space="preserve">
        <w:t> </w:t>
      </w:r>
      <w:r>
        <w:t xml:space="preserve">3346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medication to certain persons in the custody of a sheriff.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46B.0825, Code of Criminal Procedure,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A sheriff or sheriff's deputy having custody of a defendant </w:t>
      </w:r>
      <w:r>
        <w:rPr>
          <w:u w:val="single"/>
        </w:rPr>
        <w:t xml:space="preserve">discharged from a facility, jail-based competency restoration program, or outpatient competency restoration program</w:t>
      </w:r>
      <w:r>
        <w:t xml:space="preserve"> </w:t>
      </w:r>
      <w:r>
        <w:t xml:space="preserve">[</w:t>
      </w:r>
      <w:r>
        <w:rPr>
          <w:strike/>
        </w:rPr>
        <w:t xml:space="preserve">for transportation as required by Article 46B.0805 or 46B.082 or during proceedings described by Article 46B.084</w:t>
      </w:r>
      <w:r>
        <w:t xml:space="preserve">] shall, according to information available at the time and unless directed otherwise by a physician treating the defendant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ensure that the defendant is provided with the types and dosages of medication prescribed for the defendant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accordance with applicable law, compel the defendant to take all prescribed medication to ensure the defendant's continuity of care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defendant described by Subsection (a) is being treated with a psychotropic medication at the time the defendant is discharged, the sheriff or sheriff's deputy shall ensure that administration of the medication continues unless directed otherwise by the physician for the jail. </w:t>
      </w:r>
      <w:r>
        <w:rPr>
          <w:u w:val="single"/>
        </w:rPr>
        <w:t xml:space="preserve"> </w:t>
      </w:r>
      <w:r>
        <w:rPr>
          <w:u w:val="single"/>
        </w:rPr>
        <w:t xml:space="preserve">The jail physician must appropriately document the need for any discontinuation or other change in the use or amount of medication after consulting with the physician who treated the defendant at the facility or program to ensure that the change does not adversely affect the defendant's mental health or ability to continue with court proceedings.</w:t>
      </w:r>
    </w:p>
    <w:p w:rsidR="003F3435" w:rsidRDefault="0032493E">
      <w:pPr>
        <w:spacing w:line="480" w:lineRule="auto"/>
        <w:ind w:firstLine="720"/>
        <w:jc w:val="both"/>
      </w:pPr>
      <w:r>
        <w:t xml:space="preserve">(b)</w:t>
      </w:r>
      <w:r xml:space="preserve">
        <w:t> </w:t>
      </w:r>
      <w:r xml:space="preserve">
        <w:t> </w:t>
      </w:r>
      <w:r>
        <w:rPr>
          <w:u w:val="single"/>
        </w:rPr>
        <w:t xml:space="preserve">The commission shall reimburse</w:t>
      </w:r>
      <w:r>
        <w:t xml:space="preserve"> </w:t>
      </w:r>
      <w:r>
        <w:t xml:space="preserve">[</w:t>
      </w:r>
      <w:r>
        <w:rPr>
          <w:strike/>
        </w:rPr>
        <w:t xml:space="preserve">To the extent funds are appropriated for that purpose,</w:t>
      </w:r>
      <w:r>
        <w:t xml:space="preserve">] a sheriff </w:t>
      </w:r>
      <w:r>
        <w:rPr>
          <w:u w:val="single"/>
        </w:rPr>
        <w:t xml:space="preserve">for the cost of</w:t>
      </w:r>
      <w:r>
        <w:t xml:space="preserve"> </w:t>
      </w:r>
      <w:r>
        <w:t xml:space="preserve">[</w:t>
      </w:r>
      <w:r>
        <w:rPr>
          <w:strike/>
        </w:rPr>
        <w:t xml:space="preserve">is entitled to reimbursement from the state for</w:t>
      </w:r>
      <w:r>
        <w:t xml:space="preserve">] providing the medication required by </w:t>
      </w:r>
      <w:r>
        <w:rPr>
          <w:u w:val="single"/>
        </w:rPr>
        <w:t xml:space="preserve">this article</w:t>
      </w:r>
      <w:r>
        <w:t xml:space="preserve"> [</w:t>
      </w:r>
      <w:r>
        <w:rPr>
          <w:strike/>
        </w:rPr>
        <w:t xml:space="preserve">Subsection (a)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46B.0825(c), Code of Criminal Procedure,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