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3349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assignment by the University Interscholastic League of schools to districts for purposes of competition.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33.090.</w:t>
      </w:r>
      <w:r>
        <w:rPr>
          <w:u w:val="single"/>
        </w:rPr>
        <w:t xml:space="preserve"> </w:t>
      </w:r>
      <w:r>
        <w:rPr>
          <w:u w:val="single"/>
        </w:rPr>
        <w:t xml:space="preserve"> </w:t>
      </w:r>
      <w:r>
        <w:rPr>
          <w:u w:val="single"/>
        </w:rPr>
        <w:t xml:space="preserve">ASSIGNMENT OF SCHOOLS TO DISTRICTS BY UNIVERSITY INTERSCHOLASTIC LEAGUE.  The University Interscholastic League may not assign a school that is located in a county with a population of less than 500,000 to a district for purposes of competition if placement in that district would require the school to compete in playoff competition against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more than 2,100 enrolled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 county with a population of 500,000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33.090, Education Code, as added by this Act, applies beginning with the first University Interscholastic League reclassification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