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88R14084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standards required for certain rankings of physicians by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1460.003, Insurance Code, is amended to read as follows:</w:t>
      </w:r>
    </w:p>
    <w:p w:rsidR="003F3435" w:rsidRDefault="0032493E">
      <w:pPr>
        <w:spacing w:line="480" w:lineRule="auto"/>
        <w:ind w:firstLine="720"/>
        <w:jc w:val="both"/>
      </w:pPr>
      <w:r>
        <w:t xml:space="preserve">Sec.</w:t>
      </w:r>
      <w:r xml:space="preserve">
        <w:t> </w:t>
      </w:r>
      <w:r>
        <w:t xml:space="preserve">1460.003.</w:t>
      </w:r>
      <w:r xml:space="preserve">
        <w:t> </w:t>
      </w:r>
      <w:r xml:space="preserve">
        <w:t> </w:t>
      </w:r>
      <w:r>
        <w:t xml:space="preserve">PHYSICIAN RANKING REQUIREMENTS. </w:t>
      </w:r>
      <w:r>
        <w:t xml:space="preserve"> </w:t>
      </w:r>
      <w:r>
        <w:t xml:space="preserve">(a) </w:t>
      </w:r>
      <w:r>
        <w:t xml:space="preserve"> </w:t>
      </w:r>
      <w:r>
        <w:t xml:space="preserve">A health benefit plan issuer, including a subsidiary or affiliate, may not rank physicians </w:t>
      </w:r>
      <w:r>
        <w:rPr>
          <w:u w:val="single"/>
        </w:rPr>
        <w:t xml:space="preserve">or</w:t>
      </w:r>
      <w:r>
        <w:t xml:space="preserve"> [</w:t>
      </w:r>
      <w:r>
        <w:rPr>
          <w:strike/>
        </w:rPr>
        <w:t xml:space="preserve">,</w:t>
      </w:r>
      <w:r>
        <w:t xml:space="preserve">] classify physicians into tiers based on performance[</w:t>
      </w:r>
      <w:r>
        <w:rPr>
          <w:strike/>
        </w:rPr>
        <w:t xml:space="preserve">, or publish physician-specific information that includes rankings, tiers, ratings, or other comparisons of a physician's performance against standards, measures, or other physicians,</w:t>
      </w:r>
      <w:r>
        <w:t xml:space="preserve">] unless[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standards used by the health benefit plan issuer conform to nationally recognized standards and guidelines as required by rules adopted under Section 1460.005[</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standards and measurements to be used by the health benefit plan issuer are disclosed to each affected physician before any evaluation period used by the health benefit plan issuer;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each affected physician is afforded, before any publication or other public dissemination, an opportunity to dispute the ranking or classification through a process that, at a minimum, includes due process protections that conform to the following protections: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health benefit plan issuer provides at least 45 days' written notice to the physician of the proposed rating, ranking, tiering, or comparison, including the methodologies, data, and all other information utilized by the health benefit plan issuer in its rating, tiering, ranking, or comparison decision;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 addition to any written fair reconsideration process, the health benefit plan issuer, upon a request for review that is made within 30 days of receiving the notice under Paragraph (A), provides a fair reconsideration proceeding, at the physician's option: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by teleconference, at an agreed upon time;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in person, at an agreed upon time or between the hours of 8:00 a.m. and 5:00 p.m. Monday through Friday;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physician has the right to provide information at a requested fair reconsideration proceeding for determination by a decision-maker, have a representative participate in the fair reconsideration proceeding, and submit a written statement at the conclusion of the fair reconsideration proceeding;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health benefit plan issuer provides a written communication of the outcome of a fair reconsideration proceeding prior to any publication or dissemination of the rating, ranking, tiering, or comparison. </w:t>
      </w:r>
      <w:r>
        <w:rPr>
          <w:strike/>
        </w:rPr>
        <w:t xml:space="preserve"> </w:t>
      </w:r>
      <w:r>
        <w:rPr>
          <w:strike/>
        </w:rPr>
        <w:t xml:space="preserve">The written communication must include the specific reasons for the final decision</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publication of a list of network physicians and providers if ratings [</w:t>
      </w:r>
      <w:r>
        <w:rPr>
          <w:strike/>
        </w:rPr>
        <w:t xml:space="preserve">or comparisons</w:t>
      </w:r>
      <w:r>
        <w:t xml:space="preserve">] are not made and the list is not a product of nor reflects the tiering or classification of physicians or providers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physician-specific cost comparison information from a health benefit plan issuer to a network physician whose payment by the health benefit plan issuer to the physician is partly based on costs of other health care providers that are attributed by the health benefit plan issuer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