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88R12113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Gerdes, 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used and scrap tires by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361.1121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361.1121.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MARKING USED OR SCRAP TIRES IN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"Generator" includes a fleet operator, an automotive dismantler, a tire recapper or retreader, or a retailer, wholesaler, or manufacturer of whole new or used tires.  The term does not include a scrap tire energy recovery facility or a scrap tire recycling facility.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"Retailer" means a person who is engaged in the business of selling or otherwise placing tires in the stream of commerce for use on a vehicle, trailer, or piece of equipment.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"Scrap tire" has the meaning assigned by Section 361.112.  The term does not include a tire: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or on a vehicle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crushed;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transported to a registered metal recycling entity or a licensed used automotive parts recycler;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mounted on a metal wheel that is intended to be recycled.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"Used tire" means a tire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used as a tire on a vehicle, trailer, or piece of equipment;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tire tread at least one-sixteenth inch deep;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 still be used for its original intended purpose;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meets the visual and tread depth requirements for used tires established by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county with a population of 150,000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to which this section applies may establish and enforce a program requiring a generator to mark used or scrap tires handled by the generator.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established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assign to each generator a unique identifying mark required to be affixed to or imprinted on each scrap or used tire, taken possession of or produced by the generator;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customer to retain a scrap or used tire removed from the customer's vehicle during the purchase of a tire from a retailer;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 retailer whose customer retains a scrap or used tire to keep a record of the customer's retention;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system to inspect generators for compliance.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